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Экоэнергетика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0B7CDE" w:rsidR="00A77598" w:rsidRPr="00296718" w:rsidRDefault="002967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0C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C3C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EFBED1" w:rsidR="004475DA" w:rsidRPr="00296718" w:rsidRDefault="002967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AD33AA" w14:textId="4916F40D" w:rsidR="009B0C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2747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_Toc212142747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3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3BA3D26E" w14:textId="4B717805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48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_Toc212142748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3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16CC9F5A" w14:textId="1BAD4EA0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49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_Toc212142749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3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430A0DEC" w14:textId="061E0114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0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_Toc212142750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4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73C4E27C" w14:textId="473E0C44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1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_Toc212142751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5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6331A163" w14:textId="1B5DCF08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2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_Toc212142752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5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02093400" w14:textId="32B19BC8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3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_Toc212142753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6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361CA018" w14:textId="5CC19402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4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_Toc212142754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6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03368620" w14:textId="19F46326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5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_Toc212142755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6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5DC43617" w14:textId="6F0EEBBD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6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_Toc212142756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8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4B5C009A" w14:textId="42CC4FEC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7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_Toc212142757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9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238FE22C" w14:textId="38613E02" w:rsidR="009B0C3C" w:rsidRDefault="00296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8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_Toc212142758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61E47DBC" w14:textId="5D8E9FC3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59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_Toc212142759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15B887A4" w14:textId="032F4F55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60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_Toc212142760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63385918" w14:textId="16671B2C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61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_Toc212142761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03BEE89B" w14:textId="3D61B4CA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62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_Toc212142762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4DEE3196" w14:textId="6D4C69B4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63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_Toc212142763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45F138EF" w14:textId="0FDF3DA2" w:rsidR="009B0C3C" w:rsidRDefault="00296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2764" w:history="1">
            <w:r w:rsidR="009B0C3C" w:rsidRPr="00B54F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0C3C">
              <w:rPr>
                <w:noProof/>
                <w:webHidden/>
              </w:rPr>
              <w:tab/>
            </w:r>
            <w:r w:rsidR="009B0C3C">
              <w:rPr>
                <w:noProof/>
                <w:webHidden/>
              </w:rPr>
              <w:fldChar w:fldCharType="begin"/>
            </w:r>
            <w:r w:rsidR="009B0C3C">
              <w:rPr>
                <w:noProof/>
                <w:webHidden/>
              </w:rPr>
              <w:instrText xml:space="preserve"> PAGEREF _Toc212142764 \h </w:instrText>
            </w:r>
            <w:r w:rsidR="009B0C3C">
              <w:rPr>
                <w:noProof/>
                <w:webHidden/>
              </w:rPr>
            </w:r>
            <w:r w:rsidR="009B0C3C">
              <w:rPr>
                <w:noProof/>
                <w:webHidden/>
              </w:rPr>
              <w:fldChar w:fldCharType="separate"/>
            </w:r>
            <w:r w:rsidR="009B0C3C">
              <w:rPr>
                <w:noProof/>
                <w:webHidden/>
              </w:rPr>
              <w:t>10</w:t>
            </w:r>
            <w:r w:rsidR="009B0C3C">
              <w:rPr>
                <w:noProof/>
                <w:webHidden/>
              </w:rPr>
              <w:fldChar w:fldCharType="end"/>
            </w:r>
          </w:hyperlink>
        </w:p>
        <w:p w14:paraId="0DD49713" w14:textId="57741DE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2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 в области устойчивого развития энергетики, оценки экологических рисков и интеграции экоэнергетических решений в стратегическом планировании нефтегазовых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2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Экоэнергетика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2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B0C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0C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0C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0C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0C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0C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B0C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0C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0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B0C3C">
              <w:rPr>
                <w:rFonts w:ascii="Times New Roman" w:hAnsi="Times New Roman" w:cs="Times New Roman"/>
              </w:rPr>
              <w:t>ых</w:t>
            </w:r>
            <w:proofErr w:type="spellEnd"/>
            <w:r w:rsidRPr="009B0C3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0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0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0C3C">
              <w:rPr>
                <w:rFonts w:ascii="Times New Roman" w:hAnsi="Times New Roman" w:cs="Times New Roman"/>
              </w:rPr>
              <w:t xml:space="preserve">Основные термины и понятия </w:t>
            </w:r>
            <w:proofErr w:type="spellStart"/>
            <w:r w:rsidR="00316402" w:rsidRPr="009B0C3C">
              <w:rPr>
                <w:rFonts w:ascii="Times New Roman" w:hAnsi="Times New Roman" w:cs="Times New Roman"/>
              </w:rPr>
              <w:t>экоэнергетики</w:t>
            </w:r>
            <w:proofErr w:type="spellEnd"/>
            <w:r w:rsidR="00316402" w:rsidRPr="009B0C3C">
              <w:rPr>
                <w:rFonts w:ascii="Times New Roman" w:hAnsi="Times New Roman" w:cs="Times New Roman"/>
              </w:rPr>
              <w:t xml:space="preserve"> на русском и английском языках.</w:t>
            </w:r>
            <w:r w:rsidR="00316402" w:rsidRPr="009B0C3C">
              <w:rPr>
                <w:rFonts w:ascii="Times New Roman" w:hAnsi="Times New Roman" w:cs="Times New Roman"/>
              </w:rPr>
              <w:br/>
              <w:t>Принципы деловой коммуникации при обсуждении экологических и энергетических проектов.</w:t>
            </w:r>
            <w:r w:rsidRPr="009B0C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0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0C3C">
              <w:rPr>
                <w:rFonts w:ascii="Times New Roman" w:hAnsi="Times New Roman" w:cs="Times New Roman"/>
              </w:rPr>
              <w:t>Вести дискуссии по вопросам устойчивого развития энергетики в нефтегазовой отрасли.</w:t>
            </w:r>
            <w:r w:rsidR="00FD518F" w:rsidRPr="009B0C3C">
              <w:rPr>
                <w:rFonts w:ascii="Times New Roman" w:hAnsi="Times New Roman" w:cs="Times New Roman"/>
              </w:rPr>
              <w:br/>
              <w:t xml:space="preserve">Составлять отчеты и доклады на русском и английском языках по </w:t>
            </w:r>
            <w:proofErr w:type="spellStart"/>
            <w:r w:rsidR="00FD518F" w:rsidRPr="009B0C3C">
              <w:rPr>
                <w:rFonts w:ascii="Times New Roman" w:hAnsi="Times New Roman" w:cs="Times New Roman"/>
              </w:rPr>
              <w:t>экоэнергетическим</w:t>
            </w:r>
            <w:proofErr w:type="spellEnd"/>
            <w:r w:rsidR="00FD518F" w:rsidRPr="009B0C3C">
              <w:rPr>
                <w:rFonts w:ascii="Times New Roman" w:hAnsi="Times New Roman" w:cs="Times New Roman"/>
              </w:rPr>
              <w:t xml:space="preserve"> аспектам.</w:t>
            </w:r>
            <w:r w:rsidRPr="009B0C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B0C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0C3C">
              <w:rPr>
                <w:rFonts w:ascii="Times New Roman" w:hAnsi="Times New Roman" w:cs="Times New Roman"/>
              </w:rPr>
              <w:t xml:space="preserve">Навыками ведения переговоров и презентаций по тематике </w:t>
            </w:r>
            <w:proofErr w:type="spellStart"/>
            <w:r w:rsidR="00FD518F" w:rsidRPr="009B0C3C">
              <w:rPr>
                <w:rFonts w:ascii="Times New Roman" w:hAnsi="Times New Roman" w:cs="Times New Roman"/>
              </w:rPr>
              <w:t>экоэнергетики</w:t>
            </w:r>
            <w:proofErr w:type="spellEnd"/>
            <w:r w:rsidR="00FD518F" w:rsidRPr="009B0C3C">
              <w:rPr>
                <w:rFonts w:ascii="Times New Roman" w:hAnsi="Times New Roman" w:cs="Times New Roman"/>
              </w:rPr>
              <w:t>.</w:t>
            </w:r>
            <w:r w:rsidR="00FD518F" w:rsidRPr="009B0C3C">
              <w:rPr>
                <w:rFonts w:ascii="Times New Roman" w:hAnsi="Times New Roman" w:cs="Times New Roman"/>
              </w:rPr>
              <w:br/>
              <w:t>Техниками аргументации и убеждения в рамках междисциплинарного диалога.</w:t>
            </w:r>
            <w:r w:rsidR="00FD518F" w:rsidRPr="009B0C3C">
              <w:rPr>
                <w:rFonts w:ascii="Times New Roman" w:hAnsi="Times New Roman" w:cs="Times New Roman"/>
              </w:rPr>
              <w:br/>
              <w:t>Методами подготовки аналитических материалов на государственном и иностранном языках.</w:t>
            </w:r>
            <w:r w:rsidRPr="009B0C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B0C3C" w14:paraId="0CD676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AD9E6" w14:textId="77777777" w:rsidR="00751095" w:rsidRPr="009B0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>ПК-4 - Способен формировать планы стратегического развития предприятия, на основе информации о перспективных и текущих потребностях участников нефтегазового рынка в углеводородных ресурсах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202D" w14:textId="77777777" w:rsidR="00751095" w:rsidRPr="009B0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lang w:bidi="ru-RU"/>
              </w:rPr>
              <w:t>ПК-4.1 - Умеет выявлять и анализировать возможные риски в сфере торговли углеводородным сырьем и продуктами его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2D1A" w14:textId="77777777" w:rsidR="00751095" w:rsidRPr="009B0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0C3C">
              <w:rPr>
                <w:rFonts w:ascii="Times New Roman" w:hAnsi="Times New Roman" w:cs="Times New Roman"/>
              </w:rPr>
              <w:t xml:space="preserve">Основные принципы устойчивого развития и экологической политики в нефтегазовой отрасли. Факторы, влияющие на спрос и предложение углеводородных ресурсов с учетом экологических </w:t>
            </w:r>
            <w:proofErr w:type="spellStart"/>
            <w:r w:rsidR="00316402" w:rsidRPr="009B0C3C">
              <w:rPr>
                <w:rFonts w:ascii="Times New Roman" w:hAnsi="Times New Roman" w:cs="Times New Roman"/>
              </w:rPr>
              <w:t>ограничений</w:t>
            </w:r>
            <w:proofErr w:type="gramStart"/>
            <w:r w:rsidR="00316402" w:rsidRPr="009B0C3C">
              <w:rPr>
                <w:rFonts w:ascii="Times New Roman" w:hAnsi="Times New Roman" w:cs="Times New Roman"/>
              </w:rPr>
              <w:t>.М</w:t>
            </w:r>
            <w:proofErr w:type="gramEnd"/>
            <w:r w:rsidR="00316402" w:rsidRPr="009B0C3C">
              <w:rPr>
                <w:rFonts w:ascii="Times New Roman" w:hAnsi="Times New Roman" w:cs="Times New Roman"/>
              </w:rPr>
              <w:t>етоды</w:t>
            </w:r>
            <w:proofErr w:type="spellEnd"/>
            <w:r w:rsidR="00316402" w:rsidRPr="009B0C3C">
              <w:rPr>
                <w:rFonts w:ascii="Times New Roman" w:hAnsi="Times New Roman" w:cs="Times New Roman"/>
              </w:rPr>
              <w:t xml:space="preserve"> оценки экологических и регуляторных рисков в торговле углеводородами.</w:t>
            </w:r>
            <w:r w:rsidRPr="009B0C3C">
              <w:rPr>
                <w:rFonts w:ascii="Times New Roman" w:hAnsi="Times New Roman" w:cs="Times New Roman"/>
              </w:rPr>
              <w:t xml:space="preserve"> </w:t>
            </w:r>
          </w:p>
          <w:p w14:paraId="3F17EE40" w14:textId="77777777" w:rsidR="00751095" w:rsidRPr="009B0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0C3C">
              <w:rPr>
                <w:rFonts w:ascii="Times New Roman" w:hAnsi="Times New Roman" w:cs="Times New Roman"/>
              </w:rPr>
              <w:t xml:space="preserve">Анализировать влияние экологических норм и "зеленых" технологий на стратегию развития нефтегазовых компаний. Оценивать риски, связанные с декарбонизацией, углеродным налогообложением и изменениями рыночного спроса. Разрабатывать рекомендации по адаптации </w:t>
            </w:r>
            <w:proofErr w:type="gramStart"/>
            <w:r w:rsidR="00FD518F" w:rsidRPr="009B0C3C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FD518F" w:rsidRPr="009B0C3C">
              <w:rPr>
                <w:rFonts w:ascii="Times New Roman" w:hAnsi="Times New Roman" w:cs="Times New Roman"/>
              </w:rPr>
              <w:t xml:space="preserve"> предприятий к </w:t>
            </w:r>
            <w:proofErr w:type="spellStart"/>
            <w:r w:rsidR="00FD518F" w:rsidRPr="009B0C3C">
              <w:rPr>
                <w:rFonts w:ascii="Times New Roman" w:hAnsi="Times New Roman" w:cs="Times New Roman"/>
              </w:rPr>
              <w:t>экоэнергетическим</w:t>
            </w:r>
            <w:proofErr w:type="spellEnd"/>
            <w:r w:rsidR="00FD518F" w:rsidRPr="009B0C3C">
              <w:rPr>
                <w:rFonts w:ascii="Times New Roman" w:hAnsi="Times New Roman" w:cs="Times New Roman"/>
              </w:rPr>
              <w:t xml:space="preserve"> трендам.</w:t>
            </w:r>
            <w:r w:rsidRPr="009B0C3C">
              <w:rPr>
                <w:rFonts w:ascii="Times New Roman" w:hAnsi="Times New Roman" w:cs="Times New Roman"/>
              </w:rPr>
              <w:t xml:space="preserve">. </w:t>
            </w:r>
          </w:p>
          <w:p w14:paraId="141BE2BF" w14:textId="77777777" w:rsidR="00751095" w:rsidRPr="009B0C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0C3C">
              <w:rPr>
                <w:rFonts w:ascii="Times New Roman" w:hAnsi="Times New Roman" w:cs="Times New Roman"/>
              </w:rPr>
              <w:t xml:space="preserve">Навыками стратегического анализа с учетом экологических и энергетических вызовов. Методами прогнозирования изменений на рынке углеводородов под влиянием </w:t>
            </w:r>
            <w:proofErr w:type="spellStart"/>
            <w:r w:rsidR="00FD518F" w:rsidRPr="009B0C3C">
              <w:rPr>
                <w:rFonts w:ascii="Times New Roman" w:hAnsi="Times New Roman" w:cs="Times New Roman"/>
              </w:rPr>
              <w:t>экоэнергетики</w:t>
            </w:r>
            <w:proofErr w:type="spellEnd"/>
            <w:r w:rsidR="00FD518F" w:rsidRPr="009B0C3C">
              <w:rPr>
                <w:rFonts w:ascii="Times New Roman" w:hAnsi="Times New Roman" w:cs="Times New Roman"/>
              </w:rPr>
              <w:t>. Инструментами управления рисками в контексте устойчивого развития.</w:t>
            </w:r>
            <w:r w:rsidRPr="009B0C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B0C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27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экоэнергетики и ее роль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концепции устойчивого развития, принципов экоэнергетики и их влияния на нефтегазовый сектор. Анализ глобальных трендов декарбонизации, ESG-требований и их воздействия на стратегическое планирование компаний. Разбор ключевых терминов: "зеленая" энергетика, углеродный след, циркулярная экономика. Формирование понимания экологических рисков как фактора стратегического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8851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DFB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Регуляторные аспекты и экологические стандарты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D8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международных и российских нормативных актов в области экологии (Парижское соглашение, ESG-стандарты). Изучение системы углеродного регулирования (налоги, квоты) и их влияния на себестоимость продукции. Оценка последствий ужесточения экологических требований для нефтегазовых компаний.  Развитие навыков оценки регуляторных рисков при торговле углеводородами.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56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CA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EC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D0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878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AE9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Экоэнергетические технологии в нефтегазовом комплексе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20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"зеленых" технологий: улавливание и хранение CO2 (CCUS), водородная энергетика, использование ВИЭ на месторождениях. Анализ экономической эффективности их внедрения. Кейсы успешной интеграции экотехнологий (Shell, BP, "Роснефть"). Формирование базы для разработки стратегий модернизации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46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5A3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FFE7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8BF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2203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58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 и возможности энергоперехода для нефтегазового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95E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рыночных рисков, связанных с сокращением спроса на углеводороды. Анализ сценариев развития отрасли (IEA, OPEC). Практикум по оценке инвестиционной привлекательности проектов в условиях энергоперехода.Развитие навыков прогнозирования рыночных изменений 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FA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BD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54E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679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D72CB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4A7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Стратегическое планирование с учетом экоэнергетических трендов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4DB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разработки стратегий нефтегазовых компаний в условиях декарбонизации. Инструменты адаптации бизнес-моделей (диверсификация, "зеленые" инвестиции). Разбор кейсов трансформации нефтегазовых гигантов в энергетические компании. Формирование компетенций по интеграции экофакторов в стратегии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75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82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454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49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27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2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B0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6A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  <w:tr w:rsidR="00262CF0" w:rsidRPr="007E6725" w14:paraId="3466F8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4C7B0" w14:textId="77777777" w:rsidR="00262CF0" w:rsidRPr="009B0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D5F89" w14:textId="77777777" w:rsidR="00262CF0" w:rsidRPr="007E6725" w:rsidRDefault="00296A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  <w:tr w:rsidR="00262CF0" w:rsidRPr="007E6725" w14:paraId="5B77A7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E2475" w14:textId="77777777" w:rsidR="00262CF0" w:rsidRPr="009B0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0C3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25.06.2025).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996B6" w14:textId="77777777" w:rsidR="00262CF0" w:rsidRPr="007E6725" w:rsidRDefault="00296A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2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770CCD" w14:textId="77777777" w:rsidTr="007B550D">
        <w:tc>
          <w:tcPr>
            <w:tcW w:w="9345" w:type="dxa"/>
          </w:tcPr>
          <w:p w14:paraId="186F00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98E36E" w14:textId="77777777" w:rsidTr="007B550D">
        <w:tc>
          <w:tcPr>
            <w:tcW w:w="9345" w:type="dxa"/>
          </w:tcPr>
          <w:p w14:paraId="733314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D7796F" w14:textId="77777777" w:rsidTr="007B550D">
        <w:tc>
          <w:tcPr>
            <w:tcW w:w="9345" w:type="dxa"/>
          </w:tcPr>
          <w:p w14:paraId="49599C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EBA107" w14:textId="77777777" w:rsidTr="007B550D">
        <w:tc>
          <w:tcPr>
            <w:tcW w:w="9345" w:type="dxa"/>
          </w:tcPr>
          <w:p w14:paraId="1E5A51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2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6A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2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0C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0C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0C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0C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0C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0C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B0C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B0C3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B0C3C">
              <w:rPr>
                <w:sz w:val="22"/>
                <w:szCs w:val="22"/>
                <w:lang w:val="en-US"/>
              </w:rPr>
              <w:t>Intel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I</w:t>
            </w:r>
            <w:r w:rsidRPr="009B0C3C">
              <w:rPr>
                <w:sz w:val="22"/>
                <w:szCs w:val="22"/>
              </w:rPr>
              <w:t>5-7400/16</w:t>
            </w:r>
            <w:r w:rsidRPr="009B0C3C">
              <w:rPr>
                <w:sz w:val="22"/>
                <w:szCs w:val="22"/>
                <w:lang w:val="en-US"/>
              </w:rPr>
              <w:t>Gb</w:t>
            </w:r>
            <w:r w:rsidRPr="009B0C3C">
              <w:rPr>
                <w:sz w:val="22"/>
                <w:szCs w:val="22"/>
              </w:rPr>
              <w:t>/1</w:t>
            </w:r>
            <w:r w:rsidRPr="009B0C3C">
              <w:rPr>
                <w:sz w:val="22"/>
                <w:szCs w:val="22"/>
                <w:lang w:val="en-US"/>
              </w:rPr>
              <w:t>Tb</w:t>
            </w:r>
            <w:r w:rsidRPr="009B0C3C">
              <w:rPr>
                <w:sz w:val="22"/>
                <w:szCs w:val="22"/>
              </w:rPr>
              <w:t xml:space="preserve">/ видеокарта </w:t>
            </w:r>
            <w:r w:rsidRPr="009B0C3C">
              <w:rPr>
                <w:sz w:val="22"/>
                <w:szCs w:val="22"/>
                <w:lang w:val="en-US"/>
              </w:rPr>
              <w:t>NVIDIA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GeForce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GT</w:t>
            </w:r>
            <w:r w:rsidRPr="009B0C3C">
              <w:rPr>
                <w:sz w:val="22"/>
                <w:szCs w:val="22"/>
              </w:rPr>
              <w:t xml:space="preserve"> 710/Монитор </w:t>
            </w:r>
            <w:r w:rsidRPr="009B0C3C">
              <w:rPr>
                <w:sz w:val="22"/>
                <w:szCs w:val="22"/>
                <w:lang w:val="en-US"/>
              </w:rPr>
              <w:t>DELL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S</w:t>
            </w:r>
            <w:r w:rsidRPr="009B0C3C">
              <w:rPr>
                <w:sz w:val="22"/>
                <w:szCs w:val="22"/>
              </w:rPr>
              <w:t>2218</w:t>
            </w:r>
            <w:r w:rsidRPr="009B0C3C">
              <w:rPr>
                <w:sz w:val="22"/>
                <w:szCs w:val="22"/>
                <w:lang w:val="en-US"/>
              </w:rPr>
              <w:t>H</w:t>
            </w:r>
            <w:r w:rsidRPr="009B0C3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Switch</w:t>
            </w:r>
            <w:r w:rsidRPr="009B0C3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x</w:t>
            </w:r>
            <w:r w:rsidRPr="009B0C3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B0C3C">
              <w:rPr>
                <w:sz w:val="22"/>
                <w:szCs w:val="22"/>
              </w:rPr>
              <w:t>подпружинен.ручной</w:t>
            </w:r>
            <w:proofErr w:type="spellEnd"/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MW</w:t>
            </w:r>
            <w:r w:rsidRPr="009B0C3C">
              <w:rPr>
                <w:sz w:val="22"/>
                <w:szCs w:val="22"/>
              </w:rPr>
              <w:t xml:space="preserve">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B0C3C">
              <w:rPr>
                <w:sz w:val="22"/>
                <w:szCs w:val="22"/>
              </w:rPr>
              <w:t xml:space="preserve"> 200х200см (</w:t>
            </w:r>
            <w:r w:rsidRPr="009B0C3C">
              <w:rPr>
                <w:sz w:val="22"/>
                <w:szCs w:val="22"/>
                <w:lang w:val="en-US"/>
              </w:rPr>
              <w:t>S</w:t>
            </w:r>
            <w:r w:rsidRPr="009B0C3C">
              <w:rPr>
                <w:sz w:val="22"/>
                <w:szCs w:val="22"/>
              </w:rPr>
              <w:t>/</w:t>
            </w:r>
            <w:r w:rsidRPr="009B0C3C">
              <w:rPr>
                <w:sz w:val="22"/>
                <w:szCs w:val="22"/>
                <w:lang w:val="en-US"/>
              </w:rPr>
              <w:t>N</w:t>
            </w:r>
            <w:r w:rsidRPr="009B0C3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B0C3C" w14:paraId="6E4C34CB" w14:textId="77777777" w:rsidTr="008416EB">
        <w:tc>
          <w:tcPr>
            <w:tcW w:w="7797" w:type="dxa"/>
            <w:shd w:val="clear" w:color="auto" w:fill="auto"/>
          </w:tcPr>
          <w:p w14:paraId="2F8D336E" w14:textId="77777777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0C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B0C3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9B0C3C">
              <w:rPr>
                <w:sz w:val="22"/>
                <w:szCs w:val="22"/>
                <w:lang w:val="en-US"/>
              </w:rPr>
              <w:t>Intel</w:t>
            </w:r>
            <w:r w:rsidRPr="009B0C3C">
              <w:rPr>
                <w:sz w:val="22"/>
                <w:szCs w:val="22"/>
              </w:rPr>
              <w:t xml:space="preserve">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0C3C">
              <w:rPr>
                <w:sz w:val="22"/>
                <w:szCs w:val="22"/>
              </w:rPr>
              <w:t xml:space="preserve">3-2100 2.4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B0C3C">
              <w:rPr>
                <w:sz w:val="22"/>
                <w:szCs w:val="22"/>
              </w:rPr>
              <w:t>/500/4/</w:t>
            </w:r>
            <w:r w:rsidRPr="009B0C3C">
              <w:rPr>
                <w:sz w:val="22"/>
                <w:szCs w:val="22"/>
                <w:lang w:val="en-US"/>
              </w:rPr>
              <w:t>Acer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V</w:t>
            </w:r>
            <w:r w:rsidRPr="009B0C3C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B0C3C">
              <w:rPr>
                <w:sz w:val="22"/>
                <w:szCs w:val="22"/>
              </w:rPr>
              <w:t xml:space="preserve"> - 1 шт., Мультимедийный проектор  </w:t>
            </w:r>
            <w:r w:rsidRPr="009B0C3C">
              <w:rPr>
                <w:sz w:val="22"/>
                <w:szCs w:val="22"/>
                <w:lang w:val="en-US"/>
              </w:rPr>
              <w:t>Panasonic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PT</w:t>
            </w:r>
            <w:r w:rsidRPr="009B0C3C">
              <w:rPr>
                <w:sz w:val="22"/>
                <w:szCs w:val="22"/>
              </w:rPr>
              <w:t>-</w:t>
            </w:r>
            <w:r w:rsidRPr="009B0C3C">
              <w:rPr>
                <w:sz w:val="22"/>
                <w:szCs w:val="22"/>
                <w:lang w:val="en-US"/>
              </w:rPr>
              <w:t>VX</w:t>
            </w:r>
            <w:r w:rsidRPr="009B0C3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B0C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Champion</w:t>
            </w:r>
            <w:r w:rsidRPr="009B0C3C">
              <w:rPr>
                <w:sz w:val="22"/>
                <w:szCs w:val="22"/>
              </w:rPr>
              <w:t xml:space="preserve"> 244х183см </w:t>
            </w:r>
            <w:r w:rsidRPr="009B0C3C">
              <w:rPr>
                <w:sz w:val="22"/>
                <w:szCs w:val="22"/>
                <w:lang w:val="en-US"/>
              </w:rPr>
              <w:t>SCM</w:t>
            </w:r>
            <w:r w:rsidRPr="009B0C3C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ACB0A" w14:textId="77777777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B0C3C" w14:paraId="2731AAB0" w14:textId="77777777" w:rsidTr="008416EB">
        <w:tc>
          <w:tcPr>
            <w:tcW w:w="7797" w:type="dxa"/>
            <w:shd w:val="clear" w:color="auto" w:fill="auto"/>
          </w:tcPr>
          <w:p w14:paraId="7C923ABE" w14:textId="77777777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0C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B0C3C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B0C3C">
              <w:rPr>
                <w:sz w:val="22"/>
                <w:szCs w:val="22"/>
                <w:lang w:val="en-US"/>
              </w:rPr>
              <w:t>Lenovo</w:t>
            </w:r>
            <w:r w:rsidRPr="009B0C3C">
              <w:rPr>
                <w:sz w:val="22"/>
                <w:szCs w:val="22"/>
              </w:rPr>
              <w:t xml:space="preserve"> тип 1 (</w:t>
            </w:r>
            <w:r w:rsidRPr="009B0C3C">
              <w:rPr>
                <w:sz w:val="22"/>
                <w:szCs w:val="22"/>
                <w:lang w:val="en-US"/>
              </w:rPr>
              <w:t>Core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I</w:t>
            </w:r>
            <w:r w:rsidRPr="009B0C3C">
              <w:rPr>
                <w:sz w:val="22"/>
                <w:szCs w:val="22"/>
              </w:rPr>
              <w:t xml:space="preserve">3 2100+монитор </w:t>
            </w:r>
            <w:r w:rsidRPr="009B0C3C">
              <w:rPr>
                <w:sz w:val="22"/>
                <w:szCs w:val="22"/>
                <w:lang w:val="en-US"/>
              </w:rPr>
              <w:t>Acer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V</w:t>
            </w:r>
            <w:r w:rsidRPr="009B0C3C">
              <w:rPr>
                <w:sz w:val="22"/>
                <w:szCs w:val="22"/>
              </w:rPr>
              <w:t xml:space="preserve">193) - 1 шт., Интерактивный проектор </w:t>
            </w:r>
            <w:r w:rsidRPr="009B0C3C">
              <w:rPr>
                <w:sz w:val="22"/>
                <w:szCs w:val="22"/>
                <w:lang w:val="en-US"/>
              </w:rPr>
              <w:t>Epson</w:t>
            </w:r>
            <w:r w:rsidRPr="009B0C3C">
              <w:rPr>
                <w:sz w:val="22"/>
                <w:szCs w:val="22"/>
              </w:rPr>
              <w:t xml:space="preserve"> </w:t>
            </w:r>
            <w:r w:rsidRPr="009B0C3C">
              <w:rPr>
                <w:sz w:val="22"/>
                <w:szCs w:val="22"/>
                <w:lang w:val="en-US"/>
              </w:rPr>
              <w:t>EB</w:t>
            </w:r>
            <w:r w:rsidRPr="009B0C3C">
              <w:rPr>
                <w:sz w:val="22"/>
                <w:szCs w:val="22"/>
              </w:rPr>
              <w:t>-485</w:t>
            </w:r>
            <w:r w:rsidRPr="009B0C3C">
              <w:rPr>
                <w:sz w:val="22"/>
                <w:szCs w:val="22"/>
                <w:lang w:val="en-US"/>
              </w:rPr>
              <w:t>Wi</w:t>
            </w:r>
            <w:r w:rsidRPr="009B0C3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E4738D" w14:textId="77777777" w:rsidR="002C735C" w:rsidRPr="009B0C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0C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27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2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2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2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0C3C" w14:paraId="20ED6946" w14:textId="77777777" w:rsidTr="00D91F39">
        <w:tc>
          <w:tcPr>
            <w:tcW w:w="562" w:type="dxa"/>
          </w:tcPr>
          <w:p w14:paraId="0F918CBA" w14:textId="77777777" w:rsidR="009B0C3C" w:rsidRPr="00296718" w:rsidRDefault="009B0C3C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D0738A" w14:textId="77777777" w:rsidR="009B0C3C" w:rsidRPr="009B0C3C" w:rsidRDefault="009B0C3C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0C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2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0C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0C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2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0C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B0C3C" w14:paraId="5A1C9382" w14:textId="77777777" w:rsidTr="00801458">
        <w:tc>
          <w:tcPr>
            <w:tcW w:w="2336" w:type="dxa"/>
          </w:tcPr>
          <w:p w14:paraId="4C518DAB" w14:textId="77777777" w:rsidR="005D65A5" w:rsidRPr="009B0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0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B0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B0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0C3C" w14:paraId="07658034" w14:textId="77777777" w:rsidTr="00801458">
        <w:tc>
          <w:tcPr>
            <w:tcW w:w="2336" w:type="dxa"/>
          </w:tcPr>
          <w:p w14:paraId="1553D698" w14:textId="78F29BFB" w:rsidR="005D65A5" w:rsidRPr="009B0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B0C3C" w14:paraId="6B2ED301" w14:textId="77777777" w:rsidTr="00801458">
        <w:tc>
          <w:tcPr>
            <w:tcW w:w="2336" w:type="dxa"/>
          </w:tcPr>
          <w:p w14:paraId="376DD9D6" w14:textId="77777777" w:rsidR="005D65A5" w:rsidRPr="009B0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4AAD8E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7F0C6A7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01B2A2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9B0C3C" w14:paraId="7FBF5393" w14:textId="77777777" w:rsidTr="00801458">
        <w:tc>
          <w:tcPr>
            <w:tcW w:w="2336" w:type="dxa"/>
          </w:tcPr>
          <w:p w14:paraId="7E61CB9D" w14:textId="77777777" w:rsidR="005D65A5" w:rsidRPr="009B0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CD48CA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6E1F83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BBABED" w14:textId="77777777" w:rsidR="005D65A5" w:rsidRPr="009B0C3C" w:rsidRDefault="007478E0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B0C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0C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2762"/>
      <w:r w:rsidRPr="009B0C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8C7048D" w:rsidR="00C23E7F" w:rsidRPr="009B0C3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0C3C" w:rsidRPr="009B0C3C" w14:paraId="39FB4FFB" w14:textId="77777777" w:rsidTr="00D91F39">
        <w:tc>
          <w:tcPr>
            <w:tcW w:w="562" w:type="dxa"/>
          </w:tcPr>
          <w:p w14:paraId="0342E7B7" w14:textId="77777777" w:rsidR="009B0C3C" w:rsidRPr="009B0C3C" w:rsidRDefault="009B0C3C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C007E3" w14:textId="77777777" w:rsidR="009B0C3C" w:rsidRPr="009B0C3C" w:rsidRDefault="009B0C3C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0C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66039" w14:textId="77777777" w:rsidR="009B0C3C" w:rsidRPr="009B0C3C" w:rsidRDefault="009B0C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0C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2763"/>
      <w:r w:rsidRPr="009B0C3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B0C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B0C3C" w14:paraId="0267C479" w14:textId="77777777" w:rsidTr="00801458">
        <w:tc>
          <w:tcPr>
            <w:tcW w:w="2500" w:type="pct"/>
          </w:tcPr>
          <w:p w14:paraId="37F699C9" w14:textId="77777777" w:rsidR="00B8237E" w:rsidRPr="009B0C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B0C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0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0C3C" w14:paraId="3F240151" w14:textId="77777777" w:rsidTr="00801458">
        <w:tc>
          <w:tcPr>
            <w:tcW w:w="2500" w:type="pct"/>
          </w:tcPr>
          <w:p w14:paraId="61E91592" w14:textId="61A0874C" w:rsidR="00B8237E" w:rsidRPr="009B0C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9B0C3C" w:rsidRDefault="005C548A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B0C3C" w14:paraId="0BCEFC1B" w14:textId="77777777" w:rsidTr="00801458">
        <w:tc>
          <w:tcPr>
            <w:tcW w:w="2500" w:type="pct"/>
          </w:tcPr>
          <w:p w14:paraId="69F61C3F" w14:textId="77777777" w:rsidR="00B8237E" w:rsidRPr="009B0C3C" w:rsidRDefault="00B8237E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A681D1" w14:textId="77777777" w:rsidR="00B8237E" w:rsidRPr="009B0C3C" w:rsidRDefault="005C548A" w:rsidP="00801458">
            <w:pPr>
              <w:rPr>
                <w:rFonts w:ascii="Times New Roman" w:hAnsi="Times New Roman" w:cs="Times New Roman"/>
              </w:rPr>
            </w:pPr>
            <w:r w:rsidRPr="009B0C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2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DA89D" w14:textId="77777777" w:rsidR="00296AB9" w:rsidRDefault="00296AB9" w:rsidP="00315CA6">
      <w:pPr>
        <w:spacing w:after="0" w:line="240" w:lineRule="auto"/>
      </w:pPr>
      <w:r>
        <w:separator/>
      </w:r>
    </w:p>
  </w:endnote>
  <w:endnote w:type="continuationSeparator" w:id="0">
    <w:p w14:paraId="0A907176" w14:textId="77777777" w:rsidR="00296AB9" w:rsidRDefault="00296A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7BEF7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46526" w14:textId="77777777" w:rsidR="00296AB9" w:rsidRDefault="00296AB9" w:rsidP="00315CA6">
      <w:pPr>
        <w:spacing w:after="0" w:line="240" w:lineRule="auto"/>
      </w:pPr>
      <w:r>
        <w:separator/>
      </w:r>
    </w:p>
  </w:footnote>
  <w:footnote w:type="continuationSeparator" w:id="0">
    <w:p w14:paraId="7CDFEFCF" w14:textId="77777777" w:rsidR="00296AB9" w:rsidRDefault="00296A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718"/>
    <w:rsid w:val="00296AB9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C3C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CEF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55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45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4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2BE2D1-72BB-4234-B537-F960310A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3099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