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Продвинутый курс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китайского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02E71" w:rsidRDefault="00C02E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E2D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D2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Долгова Екатерина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02E71" w:rsidRDefault="00C02E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518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3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3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3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8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8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9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9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10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11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12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14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14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14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14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14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14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D75436" w:rsidRDefault="005A27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5182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51824">
              <w:rPr>
                <w:noProof/>
                <w:webHidden/>
              </w:rPr>
            </w:r>
            <w:r w:rsidR="00151824">
              <w:rPr>
                <w:noProof/>
                <w:webHidden/>
              </w:rPr>
              <w:fldChar w:fldCharType="separate"/>
            </w:r>
            <w:r w:rsidR="00BE2D2D">
              <w:rPr>
                <w:noProof/>
                <w:webHidden/>
              </w:rPr>
              <w:t>15</w:t>
            </w:r>
            <w:r w:rsidR="0015182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5182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коммуникативной компетенции студентов на уровне, необходимом и достаточном для решения стандартных задач бытового и профессионального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Продвинутый курс китайского языка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5"/>
        <w:gridCol w:w="1960"/>
        <w:gridCol w:w="5465"/>
      </w:tblGrid>
      <w:tr w:rsidR="00751095" w:rsidRPr="007E672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D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BE2D2D">
              <w:rPr>
                <w:rFonts w:ascii="Times New Roman" w:hAnsi="Times New Roman" w:cs="Times New Roman"/>
                <w:i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BE2D2D">
              <w:rPr>
                <w:rFonts w:ascii="Times New Roman" w:hAnsi="Times New Roman" w:cs="Times New Roman"/>
                <w:i/>
              </w:rPr>
              <w:t>м(</w:t>
            </w:r>
            <w:proofErr w:type="gramEnd"/>
            <w:r w:rsidRPr="00BE2D2D">
              <w:rPr>
                <w:rFonts w:ascii="Times New Roman" w:hAnsi="Times New Roman" w:cs="Times New Roman"/>
                <w:i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BE2D2D">
              <w:rPr>
                <w:rFonts w:ascii="Times New Roman" w:hAnsi="Times New Roman" w:cs="Times New Roman"/>
                <w:i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BE2D2D">
              <w:rPr>
                <w:rFonts w:ascii="Times New Roman" w:hAnsi="Times New Roman" w:cs="Times New Roman"/>
                <w:i/>
                <w:lang w:bidi="ru-RU"/>
              </w:rPr>
              <w:t>профессиональной</w:t>
            </w:r>
            <w:proofErr w:type="gramEnd"/>
            <w:r w:rsidRPr="00BE2D2D">
              <w:rPr>
                <w:rFonts w:ascii="Times New Roman" w:hAnsi="Times New Roman" w:cs="Times New Roman"/>
                <w:i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2D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BE2D2D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BE2D2D">
              <w:rPr>
                <w:rFonts w:ascii="Times New Roman" w:hAnsi="Times New Roman" w:cs="Times New Roman"/>
                <w:i/>
              </w:rPr>
              <w:t>лексико-грамматические характеристики, стилистические, лингвокультурологические особенности построения текстов социально-бытовой и официально-деловой направленностей.</w:t>
            </w:r>
            <w:r w:rsidRPr="00BE2D2D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751095" w:rsidRPr="00BE2D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BE2D2D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BE2D2D">
              <w:rPr>
                <w:rFonts w:ascii="Times New Roman" w:hAnsi="Times New Roman" w:cs="Times New Roman"/>
                <w:i/>
              </w:rPr>
              <w:t xml:space="preserve">осуществлять коммуникацию на китайском </w:t>
            </w:r>
            <w:proofErr w:type="gramStart"/>
            <w:r w:rsidR="00FD518F" w:rsidRPr="00BE2D2D">
              <w:rPr>
                <w:rFonts w:ascii="Times New Roman" w:hAnsi="Times New Roman" w:cs="Times New Roman"/>
                <w:i/>
              </w:rPr>
              <w:t>языке</w:t>
            </w:r>
            <w:proofErr w:type="gramEnd"/>
            <w:r w:rsidR="00FD518F" w:rsidRPr="00BE2D2D">
              <w:rPr>
                <w:rFonts w:ascii="Times New Roman" w:hAnsi="Times New Roman" w:cs="Times New Roman"/>
                <w:i/>
              </w:rPr>
              <w:t xml:space="preserve"> в ситуациях бытового общения, а также в профессиональной сфере в рамках официально-делового дискурса.</w:t>
            </w:r>
            <w:r w:rsidRPr="00BE2D2D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751095" w:rsidRPr="00BE2D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BE2D2D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BE2D2D">
              <w:rPr>
                <w:rFonts w:ascii="Times New Roman" w:hAnsi="Times New Roman" w:cs="Times New Roman"/>
                <w:i/>
              </w:rPr>
              <w:t xml:space="preserve">навыками выбора языковых средств, адекватных для построения речевого высказывания социально-бытового и официально-делового содержания в </w:t>
            </w:r>
            <w:proofErr w:type="gramStart"/>
            <w:r w:rsidR="00FD518F" w:rsidRPr="00BE2D2D">
              <w:rPr>
                <w:rFonts w:ascii="Times New Roman" w:hAnsi="Times New Roman" w:cs="Times New Roman"/>
                <w:i/>
              </w:rPr>
              <w:t>устной</w:t>
            </w:r>
            <w:proofErr w:type="gramEnd"/>
            <w:r w:rsidR="00FD518F" w:rsidRPr="00BE2D2D">
              <w:rPr>
                <w:rFonts w:ascii="Times New Roman" w:hAnsi="Times New Roman" w:cs="Times New Roman"/>
                <w:i/>
              </w:rPr>
              <w:t xml:space="preserve"> и письменной формах.</w:t>
            </w:r>
            <w:r w:rsidRPr="00BE2D2D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:rsidR="00E1429F" w:rsidRPr="00BE2D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Покупки. Одежда.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выражения оценки, мнения, отношения к высказыванию. Этикетные формулы выражения отказа. Лингвокультурные особенности обсуждения цены в Китае. Денежная система КНР (юань, жэньминьби, мао, цзяо, фэнь). Числительные от 100 до 10000, проценты. Сравнение наречий zai и you. Конструкции с двумя (прямым и косвенным) дополнениями.  Лексический минимум, необходимый и достаточный для запроса и предоставления информации о стоимости, количественных и качественных характеристиках товара, выстраивании эффективных коммуникативных стратегий при посещении магазинов, рынков, торговых центров, а также выделения релевантной информации и построения продуктивного речевого высказывания при осуществлении покупок.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Особенности изучения китайского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Лексический минимум, необходимый и достаточный для понимания и продуцирования речевого высказывания при обсуждении особенностей китайского языка, процесса изучения китайского языка и его аспектов, инструментов, видов учебной деятельности, расписания занятий, графика учебного процесса, отношения к процессу обучения, перспектив работы с китайским языком.  Особенности употребления модальных глаголов. Дополнительный элемент оценки. Распространенные определения, оформляемые частицей de.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Путешествие в Китай.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Лексический минимум, необходимый и достаточный для понимания и продуцирования речевого высказывания при обсуждении путешествий и поездок, основных достопримечательностей Китая (на примере Пекина и Шанхая), способов размещения, организации досуга на отдыхе. Особенности употребления глагольных счетных слов (xia, ci, bian, tang). Побудительные предложения со значением просьбы. Выражение причинно-следственных связей (союзы yin wei, suo yi).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Зимние каникулы. Хобби.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Лексический минимум, необходимый и достаточный для запроса, понимания релевантной информации,  построения продуктивного речевого высказывания при обсуждении планов на каникулы/отпуск, способов проведения свободного времени, хобби. Способы употребления служебного слова le в функции глагольной (свершение действия)</w:t>
            </w:r>
            <w:proofErr w:type="gramStart"/>
            <w:r w:rsidRPr="00352B6F">
              <w:rPr>
                <w:lang w:bidi="ru-RU"/>
              </w:rPr>
              <w:t xml:space="preserve"> ,</w:t>
            </w:r>
            <w:proofErr w:type="gramEnd"/>
            <w:r w:rsidRPr="00352B6F">
              <w:rPr>
                <w:lang w:bidi="ru-RU"/>
              </w:rPr>
              <w:t xml:space="preserve"> а также фразовой/модальной (отнесение ситуации к прошлому, изменение состояния) частиц. Конструкция shi...de как способ акцентирования времени, места, способа совершения действия. Показатели дискретного и интервального времени. Дополнительный элемент длительности.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Транспорт.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Лексический минимум, необходимый и достаточный для запроса, понимания релевантной информации,  построения продуктивного речевого высказывания при покупке и бронировании билетов, обсуждении  способов передвижения с использованием наземного, воздушного, морского транспорта. Классификация типов поездов в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>. Речевые формулы выражения неловкости, сожаления, намерения, просьбы, одобрения, опасения. Придаточные предложения с условной конструкцией ...dehua. Конструкции, выражающие наступление состояния или действия в будущем (kuai yao.. le, jiu yao ... le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Здоровый образ жизни и болезни.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Стандартные речевые шаблоны, используемые на </w:t>
            </w:r>
            <w:proofErr w:type="gramStart"/>
            <w:r w:rsidRPr="00352B6F">
              <w:rPr>
                <w:lang w:bidi="ru-RU"/>
              </w:rPr>
              <w:t>осмотре</w:t>
            </w:r>
            <w:proofErr w:type="gramEnd"/>
            <w:r w:rsidRPr="00352B6F">
              <w:rPr>
                <w:lang w:bidi="ru-RU"/>
              </w:rPr>
              <w:t xml:space="preserve"> у врача. Лексический минимум, необходимый и достаточный для запроса, понимания релевантной информации,  построения продуктивного речевого высказывания при обсуждении здорового образа жизни, а также симптомов, диагнозов, способов диагностики и методов лечения основных заболеваний. Дополнительный элемент степени как способ обозначения высокой степени признака или состояния. Выражение длительности, процесса с помощью показателей zhengzai, zheng, zai, ne. Выражения длящегося действия или состояния посредством показателя zhe.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Китайский чай.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возникновения, особенности развития и основные характеристики культуры чая в Китае. Классификация и способы приготовления китайского чая. Чайная церемония: этапы, инструменты, ритуалы.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Пекинская опера.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Знакомство с традиционными видами искусства Китая. Пекинская опера: история, трансформация, особенности. Просмотр фильма "Прощай, моя наложница". Стилевые особенности костюмов, масок, хореографии артистов Пекинской оперы. Китайская дыхательная гимнастика тайцзицюань. Связь тайцзицюань и </w:t>
            </w:r>
            <w:proofErr w:type="gramStart"/>
            <w:r w:rsidRPr="00352B6F">
              <w:rPr>
                <w:lang w:bidi="ru-RU"/>
              </w:rPr>
              <w:t>у-шу</w:t>
            </w:r>
            <w:proofErr w:type="gramEnd"/>
            <w:r w:rsidRPr="00352B6F">
              <w:rPr>
                <w:lang w:bidi="ru-RU"/>
              </w:rPr>
              <w:t>. Лексико-грамматический минимум, необходимый и достаточный для восприятия релевантной информации и построения речевого высказывания при обсуждении традиционного искусства Китая. Грамматический показатель наличия опыта guo.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Аренда квартиры.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Лексический минимум, необходимый и достаточный для запроса, понимания релевантной информации,  построения продуктивного речевого высказывания при обсуждении условий аренды, состояния, стоимости квартиры, а также особенностей окружающей ее инфраструктуры. Дополнительный элемент результата. Особенности употребления результативов wan, jian, qingchu, cheng, dao, zai, dong, cuo, dui, guang, hui, hao, zhao, shang. Отличительные особенности употребления наречий jiu и cai. Способы выражения отношения к скорости и длительности протекания действия/совершения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Жизнь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городе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деревне.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Лексико-грамматический минимум, необходимый и достаточный для запроса и предоставления информации о планах на жизнь, социально-бытовых, культурных, экологических особенностях проживания в городской и сельской местностях. Грамматика: сравнительные конструкции A bi B + adj., A meiyou B adj., ...gen...yiyang?budan...erqie...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Встреча и прием делегации.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Формирование лексико-грамматического минимума, активизация коммуникативных умений рецептивного и продуктивного уровней, моделирование типичных ситуаций речевого общения в рамках темы "Встреча и прием делегации", в т.ч.: подготовка плана мероприятий, организация средств размещения, встреча бизнес-партнеров в аэропорту, сопровождение делегации в гостиницу, на производственные объекты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Посещение торгово-промышленной выставки.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Формирование лексико-грамматического минимума, активизация коммуникативных умений рецептивного и продуктивного уровней, моделирование типичных ситуаций речевого общения в рамках темы "Посещение торгово-промышленной выставки", в т.ч.: ознакомление со спецификой конгрессно-выставочной деятельности, особенностями организации и проведения крупных торгово-промышленных выставок (на примере Кантонской ярмарки), способами установления деловых контактов и соответствующими моделями социально-речевого поведения, формами продвижения продукта на выставке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Коммерческие переговоры. Обсуждение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лексико-грамматического минимума, активизация коммуникативных умений рецептивного и продуктивного уровней, моделирование типичных ситуаций речевого общения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темы "Коммерческие переговоры. Обсуждение цены", в т.ч.: формулирование и реализация переговорных стратегий в </w:t>
            </w:r>
            <w:proofErr w:type="gramStart"/>
            <w:r w:rsidRPr="00352B6F">
              <w:rPr>
                <w:lang w:bidi="ru-RU"/>
              </w:rPr>
              <w:t>вопросе</w:t>
            </w:r>
            <w:proofErr w:type="gramEnd"/>
            <w:r w:rsidRPr="00352B6F">
              <w:rPr>
                <w:lang w:bidi="ru-RU"/>
              </w:rPr>
              <w:t xml:space="preserve"> обсуждения цены, анализ факторов, влияющих на величину и структуру цены, обсуждение взаимосвязи цены и конкурентоспособности товара, анализ стилистических особенностей коммерческого предложения на китайском языке, ознакомление с текстами внешнеторговых контрактов.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Международные торговые термины (INCOTERMS).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Формирование лексико-грамматического минимума, навыков чтения и устной коммуникации, необходимых и достаточных для анализа текста внешнеторгового договора, а также для реализации эффективных стратегий межличностного общения в процессе обсуждения ответственности и рисков агентов внешнеэкономической сделки.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Международные грузовые 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Формирование лексико-грамматического минимума, активизация коммуникативных умений рецептивного и продуктивного уровней, моделирование типичных ситуаций речевого общения в рамках темы "Международные грузовые перевозки", в т.ч.: документарное обеспечение транспортных операций, обсуждение форм грузовых перевозок, анализ факторов, влияющих на сроки поставки товаров, формулирование переговорных стратегий в вопросе обсуждения срока и оплаты поставки товаров.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Формы платежа. Международная валютно-финансовая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Формирование лексико-грамматического минимума по теме "Элементы международной валютной системы"; активизация коммуникативных умений рецептивного и продуктивного уровней, моделирование типичных ситуаций речевого общения в рамках темы "Формы платежа", в т.ч.: формулирование переговорных стратегий при обсуждении форм и сроков оплаты товара, анализ и обсуждение факторов, влияющих на финансовое обеспечение внешнеторговой сделки, ознакомление с текстами внешнеторговых контрактов;</w:t>
            </w:r>
            <w:proofErr w:type="gramEnd"/>
            <w:r w:rsidRPr="00352B6F">
              <w:rPr>
                <w:lang w:bidi="ru-RU"/>
              </w:rPr>
              <w:t xml:space="preserve"> формирование речевых навыков и умений, необходимых и достаточных для анализа и продуцирования оригинальных текстов экономической направленности (валютно-финансовый аспект).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Таможня и таможенные процедуры.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Формирование лексико-грамматического минимума, активизация коммуникативных умений рецептивного и продуктивного уровней, моделирование типичных ситуаций речевого общения в рамках темы "Таможня и таможенные процедуры", в т.ч.: ознакомление с документарным обеспечением внешнеторговой сделки, речевыми средствами оформления таможенных процедур (в устной и письменной формах), заполнением таможенной декларации на китайском языке.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2E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Шафир, М. А. Китайский язык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 с упражнениями / М. А. Шафир. — Санкт-Петербург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КАРО, 2017. — 96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2E71" w:rsidRDefault="005A2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https://www.iprbookshop.ru/80576.html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2E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Ли, Сяоци Курс 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китайского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языка «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». Базовый уровень. Ступень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/ Сяоци Ли, Ли Хуан, Сюйцзин Цянь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А. Г. Сторожука ; перевод Е. И. Митькина, Е. Н. Колпачкова, Н. Н. Власова. — Санкт-Петербург, Пекин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КАРО, Издательство Пекинского университета, 2022. — 336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2E71" w:rsidRDefault="005A2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https://www.iprbookshop.ru/86690.html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2E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Ли, Сяоци Курс 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китайского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языка «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Сяоци Ли, Сюэмэй Жэнь, Цзиннин Сюй ; Сторожук ред.. — Санкт-Петербург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КАРО, 2017. — 184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2E71" w:rsidRDefault="005A2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https://www.iprbookshop.ru/80581.html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2E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Жигульская, Д. А. Алибаба, Байду, Вичат и многое другое. 10 текстов о современном Китае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студентов старших курсов и продолжающих учить китайский язык / Д. А. Жигульская. — 2-е изд. — Москва : Издательский дом ВКН, 2020. — 160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2E71" w:rsidRDefault="005A2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https://ibooks.ru/reading.php?short=1&amp;productid=368020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Броневич Т.А. Иностранный язык: краткий курс грамматики китайского языка : учебное пособие / Т.А.Броневич, Г.С.Гультяева ; М-во науки и высш. образования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еории яз. и переводоведения.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A2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02E7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8%D0%B9_%D0%BA%D0%B8%D1%82.pdf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2E71">
              <w:rPr>
                <w:rFonts w:ascii="Times New Roman" w:hAnsi="Times New Roman" w:cs="Times New Roman"/>
                <w:sz w:val="24"/>
                <w:szCs w:val="24"/>
              </w:rPr>
              <w:t>Гультяева Г.С. Перевод публицистических текстов с китайского языка : учебное пособие / Г.С.Гультяева ; М-во образования и науки</w:t>
            </w:r>
            <w:proofErr w:type="gramStart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02E71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С.-Петерб. гос. экон. ун-т, Каф. теории яз. и переводоведенияЭлектрон.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692 Кб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A27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02E7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BA%D1%81%D1%82%D0%BE%D0%B2.pdf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5A27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C02E71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C02E71">
              <w:rPr>
                <w:sz w:val="28"/>
                <w:szCs w:val="28"/>
              </w:rPr>
              <w:t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C02E71">
              <w:rPr>
                <w:sz w:val="28"/>
                <w:szCs w:val="28"/>
              </w:rPr>
              <w:t>.С</w:t>
            </w:r>
            <w:proofErr w:type="gramEnd"/>
            <w:r w:rsidRPr="00C02E71">
              <w:rPr>
                <w:sz w:val="28"/>
                <w:szCs w:val="28"/>
              </w:rPr>
              <w:t xml:space="preserve">пециализированная  мебель и оборудование: </w:t>
            </w:r>
            <w:proofErr w:type="gramStart"/>
            <w:r w:rsidRPr="00C02E71">
              <w:rPr>
                <w:sz w:val="28"/>
                <w:szCs w:val="28"/>
              </w:rPr>
              <w:t xml:space="preserve">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>
              <w:rPr>
                <w:sz w:val="28"/>
                <w:szCs w:val="28"/>
                <w:lang w:val="en-US"/>
              </w:rPr>
              <w:t>AIO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IRU</w:t>
            </w:r>
            <w:r w:rsidRPr="00C02E71">
              <w:rPr>
                <w:sz w:val="28"/>
                <w:szCs w:val="28"/>
              </w:rPr>
              <w:t xml:space="preserve"> 308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C02E71">
              <w:rPr>
                <w:sz w:val="28"/>
                <w:szCs w:val="28"/>
              </w:rPr>
              <w:t xml:space="preserve"> 2.8 </w:t>
            </w:r>
            <w:r>
              <w:rPr>
                <w:sz w:val="28"/>
                <w:szCs w:val="28"/>
                <w:lang w:val="en-US"/>
              </w:rPr>
              <w:t>Ghz</w:t>
            </w:r>
            <w:r w:rsidRPr="00C02E71">
              <w:rPr>
                <w:sz w:val="28"/>
                <w:szCs w:val="28"/>
              </w:rPr>
              <w:t xml:space="preserve">/4 </w:t>
            </w:r>
            <w:r>
              <w:rPr>
                <w:sz w:val="28"/>
                <w:szCs w:val="28"/>
                <w:lang w:val="en-US"/>
              </w:rPr>
              <w:t>Gb</w:t>
            </w:r>
            <w:r w:rsidRPr="00C02E71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C02E71">
              <w:rPr>
                <w:sz w:val="28"/>
                <w:szCs w:val="28"/>
              </w:rPr>
              <w:t xml:space="preserve"> - 16 шт., Компьютер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C02E71">
              <w:rPr>
                <w:sz w:val="28"/>
                <w:szCs w:val="28"/>
              </w:rPr>
              <w:t xml:space="preserve">3-2100 2.4 </w:t>
            </w:r>
            <w:r>
              <w:rPr>
                <w:sz w:val="28"/>
                <w:szCs w:val="28"/>
                <w:lang w:val="en-US"/>
              </w:rPr>
              <w:t>Ghz</w:t>
            </w:r>
            <w:r w:rsidRPr="00C02E71">
              <w:rPr>
                <w:sz w:val="28"/>
                <w:szCs w:val="28"/>
              </w:rPr>
              <w:t>/4 4</w:t>
            </w:r>
            <w:r>
              <w:rPr>
                <w:sz w:val="28"/>
                <w:szCs w:val="28"/>
                <w:lang w:val="en-US"/>
              </w:rPr>
              <w:t>Gb</w:t>
            </w:r>
            <w:r w:rsidRPr="00C02E71">
              <w:rPr>
                <w:sz w:val="28"/>
                <w:szCs w:val="28"/>
              </w:rPr>
              <w:t>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C02E7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</w:t>
            </w:r>
            <w:r w:rsidRPr="00C02E71">
              <w:rPr>
                <w:sz w:val="28"/>
                <w:szCs w:val="28"/>
              </w:rPr>
              <w:t xml:space="preserve">193 19" - 1 шт., Мультимедийный проектор  </w:t>
            </w:r>
            <w:r>
              <w:rPr>
                <w:sz w:val="28"/>
                <w:szCs w:val="28"/>
                <w:lang w:val="en-US"/>
              </w:rPr>
              <w:t>Optoma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C02E71">
              <w:rPr>
                <w:sz w:val="28"/>
                <w:szCs w:val="28"/>
              </w:rPr>
              <w:t xml:space="preserve"> 400 - 1</w:t>
            </w:r>
            <w:proofErr w:type="gramEnd"/>
            <w:r w:rsidRPr="00C02E71">
              <w:rPr>
                <w:sz w:val="28"/>
                <w:szCs w:val="28"/>
              </w:rPr>
              <w:t xml:space="preserve"> шт., Экран с электроприводом </w:t>
            </w:r>
            <w:r>
              <w:rPr>
                <w:sz w:val="28"/>
                <w:szCs w:val="28"/>
                <w:lang w:val="en-US"/>
              </w:rPr>
              <w:t>ScreenMedia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Champion</w:t>
            </w:r>
            <w:r w:rsidRPr="00C02E71">
              <w:rPr>
                <w:sz w:val="28"/>
                <w:szCs w:val="28"/>
              </w:rPr>
              <w:t xml:space="preserve"> 203х153см (</w:t>
            </w:r>
            <w:r>
              <w:rPr>
                <w:sz w:val="28"/>
                <w:szCs w:val="28"/>
                <w:lang w:val="en-US"/>
              </w:rPr>
              <w:t>SCM</w:t>
            </w:r>
            <w:r w:rsidRPr="00C02E71">
              <w:rPr>
                <w:sz w:val="28"/>
                <w:szCs w:val="28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C02E71">
              <w:rPr>
                <w:sz w:val="28"/>
                <w:szCs w:val="28"/>
              </w:rPr>
              <w:t>191023, г. Санкт-Петербург, Москательный пер., д. 4, литер «В»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C02E71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C02E71">
              <w:rPr>
                <w:sz w:val="28"/>
                <w:szCs w:val="28"/>
              </w:rPr>
              <w:t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02E71">
              <w:rPr>
                <w:sz w:val="28"/>
                <w:szCs w:val="28"/>
              </w:rPr>
              <w:t>.С</w:t>
            </w:r>
            <w:proofErr w:type="gramEnd"/>
            <w:r w:rsidRPr="00C02E71">
              <w:rPr>
                <w:sz w:val="28"/>
                <w:szCs w:val="28"/>
              </w:rPr>
              <w:t xml:space="preserve">пециализированная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C02E71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C02E71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C02E71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C02E71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C02E71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C02E71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C02E71">
              <w:rPr>
                <w:sz w:val="28"/>
                <w:szCs w:val="28"/>
              </w:rPr>
              <w:t>191023, г. Санкт-Петербург, Москательный пер., д. 4, литер «В»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C02E71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C02E71">
              <w:rPr>
                <w:sz w:val="28"/>
                <w:szCs w:val="28"/>
              </w:rPr>
              <w:t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C02E71">
              <w:rPr>
                <w:sz w:val="28"/>
                <w:szCs w:val="28"/>
              </w:rPr>
              <w:t>.С</w:t>
            </w:r>
            <w:proofErr w:type="gramEnd"/>
            <w:r w:rsidRPr="00C02E71">
              <w:rPr>
                <w:sz w:val="28"/>
                <w:szCs w:val="28"/>
              </w:rPr>
              <w:t xml:space="preserve">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02E71">
              <w:rPr>
                <w:sz w:val="28"/>
                <w:szCs w:val="28"/>
              </w:rPr>
              <w:t xml:space="preserve">Компьютер </w:t>
            </w:r>
            <w:r>
              <w:rPr>
                <w:sz w:val="28"/>
                <w:szCs w:val="28"/>
                <w:lang w:val="en-US"/>
              </w:rPr>
              <w:t>Universal</w:t>
            </w:r>
            <w:r w:rsidRPr="00C02E71">
              <w:rPr>
                <w:sz w:val="28"/>
                <w:szCs w:val="28"/>
              </w:rPr>
              <w:t xml:space="preserve"> №1 - 4 шт.,  Компьютер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C02E71">
              <w:rPr>
                <w:sz w:val="28"/>
                <w:szCs w:val="28"/>
              </w:rPr>
              <w:t xml:space="preserve">3-2100 2.4 </w:t>
            </w:r>
            <w:r>
              <w:rPr>
                <w:sz w:val="28"/>
                <w:szCs w:val="28"/>
                <w:lang w:val="en-US"/>
              </w:rPr>
              <w:t>Ghz</w:t>
            </w:r>
            <w:r w:rsidRPr="00C02E71">
              <w:rPr>
                <w:sz w:val="28"/>
                <w:szCs w:val="28"/>
              </w:rPr>
              <w:t>/4 4</w:t>
            </w:r>
            <w:r>
              <w:rPr>
                <w:sz w:val="28"/>
                <w:szCs w:val="28"/>
                <w:lang w:val="en-US"/>
              </w:rPr>
              <w:t>Gb</w:t>
            </w:r>
            <w:r w:rsidRPr="00C02E71">
              <w:rPr>
                <w:sz w:val="28"/>
                <w:szCs w:val="28"/>
              </w:rPr>
              <w:t>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C02E7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</w:t>
            </w:r>
            <w:r w:rsidRPr="00C02E71">
              <w:rPr>
                <w:sz w:val="28"/>
                <w:szCs w:val="28"/>
              </w:rPr>
              <w:t xml:space="preserve">193 19" - 10 шт., Моноблок </w:t>
            </w:r>
            <w:r>
              <w:rPr>
                <w:sz w:val="28"/>
                <w:szCs w:val="28"/>
                <w:lang w:val="en-US"/>
              </w:rPr>
              <w:t>AIO</w:t>
            </w:r>
            <w:r w:rsidRPr="00C02E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IRU</w:t>
            </w:r>
            <w:r w:rsidRPr="00C02E71">
              <w:rPr>
                <w:sz w:val="28"/>
                <w:szCs w:val="28"/>
              </w:rPr>
              <w:t xml:space="preserve"> 308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C02E71">
              <w:rPr>
                <w:sz w:val="28"/>
                <w:szCs w:val="28"/>
              </w:rPr>
              <w:t xml:space="preserve"> 2.8 </w:t>
            </w:r>
            <w:r>
              <w:rPr>
                <w:sz w:val="28"/>
                <w:szCs w:val="28"/>
                <w:lang w:val="en-US"/>
              </w:rPr>
              <w:t>Ghz</w:t>
            </w:r>
            <w:r w:rsidRPr="00C02E71">
              <w:rPr>
                <w:sz w:val="28"/>
                <w:szCs w:val="28"/>
              </w:rPr>
              <w:t xml:space="preserve">/4 </w:t>
            </w:r>
            <w:r>
              <w:rPr>
                <w:sz w:val="28"/>
                <w:szCs w:val="28"/>
                <w:lang w:val="en-US"/>
              </w:rPr>
              <w:t>Gb</w:t>
            </w:r>
            <w:r w:rsidRPr="00C02E71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C02E71">
              <w:rPr>
                <w:sz w:val="28"/>
                <w:szCs w:val="28"/>
              </w:rPr>
              <w:t xml:space="preserve"> - 1 шт., Сетевой коммутатор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C02E71">
              <w:rPr>
                <w:sz w:val="28"/>
                <w:szCs w:val="28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C02E71">
              <w:rPr>
                <w:sz w:val="28"/>
                <w:szCs w:val="28"/>
              </w:rPr>
              <w:t>191023, г. Санкт-Петербург, Москательный пер., д. 4, литер «В»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02E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2E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:rsidTr="00801458">
        <w:tc>
          <w:tcPr>
            <w:tcW w:w="2336" w:type="dxa"/>
          </w:tcPr>
          <w:p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1-3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C02E71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6-9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C02E71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6-10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11-12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C02E71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11-14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15-16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C02E71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15-17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:rsidTr="003D0D34">
        <w:tc>
          <w:tcPr>
            <w:tcW w:w="1667" w:type="pct"/>
          </w:tcPr>
          <w:p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:rsidTr="00801458">
        <w:tc>
          <w:tcPr>
            <w:tcW w:w="2500" w:type="pct"/>
          </w:tcPr>
          <w:p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1-17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C02E71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C02E71">
              <w:rPr>
                <w:rFonts w:ascii="Times New Roman" w:hAnsi="Times New Roman" w:cs="Times New Roman"/>
                <w:i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11-17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C02E71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C02E71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1-17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7F8" w:rsidRDefault="005A27F8" w:rsidP="00315CA6">
      <w:pPr>
        <w:spacing w:after="0" w:line="240" w:lineRule="auto"/>
      </w:pPr>
      <w:r>
        <w:separator/>
      </w:r>
    </w:p>
  </w:endnote>
  <w:endnote w:type="continuationSeparator" w:id="0">
    <w:p w:rsidR="005A27F8" w:rsidRDefault="005A27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5182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02E71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7F8" w:rsidRDefault="005A27F8" w:rsidP="00315CA6">
      <w:pPr>
        <w:spacing w:after="0" w:line="240" w:lineRule="auto"/>
      </w:pPr>
      <w:r>
        <w:separator/>
      </w:r>
    </w:p>
  </w:footnote>
  <w:footnote w:type="continuationSeparator" w:id="0">
    <w:p w:rsidR="005A27F8" w:rsidRDefault="005A27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C28"/>
    <w:rsid w:val="001400FE"/>
    <w:rsid w:val="00142518"/>
    <w:rsid w:val="0014422E"/>
    <w:rsid w:val="0015182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7F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2D2D"/>
    <w:rsid w:val="00BF5211"/>
    <w:rsid w:val="00C0056C"/>
    <w:rsid w:val="00C02E7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82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86690.html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80576.html" TargetMode="External"/><Relationship Id="rId17" Type="http://schemas.openxmlformats.org/officeDocument/2006/relationships/hyperlink" Target="https://opac.unecon.ru/elibrary/2015/ucheb/%D0%9F%D0%B5%D1%80%D0%B5%D0%B2%D0%BE%D0%B4%20%D0%BF%D1%83%D0%B1%D0%BB%D0%B8%D1%86%D0%B8%D1%81%D1%82%D0%B8%D1%87%D0%B5%D1%81%D0%BA%D0%B8%D1%85%20%D1%82%D0%B5%D0%BA%D1%81%D1%82%D0%BE%D0%B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0%BD%D0%BE%D1%81%D1%82%D1%80%D0%B0%D0%BD%D0%BD%D1%8B%D0%B9%20%D1%8F%D0%B7%D1%8B%D0%BA%20%D0%BA%D1%80%D0%B0%D1%82%D0%BA%D0%B8%D0%B9_%D0%BA%D0%B8%D1%82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ibooks.ru/reading.php?short=1&amp;productid=3680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0581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F7FEC4-8476-483A-8E84-EBCF933B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15</Pages>
  <Words>4273</Words>
  <Characters>24357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