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Управление качеством в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профессиональной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8F28D6" w:rsidRDefault="008F28D6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965E7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65E78">
              <w:rPr>
                <w:rFonts w:ascii="Times New Roman" w:hAnsi="Times New Roman" w:cs="Times New Roman"/>
                <w:sz w:val="20"/>
                <w:szCs w:val="20"/>
              </w:rPr>
              <w:t>к.э.н, Орловская Виктория Петровна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8F28D6" w:rsidRDefault="008F28D6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709D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705C5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D07E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709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709D9">
              <w:rPr>
                <w:noProof/>
                <w:webHidden/>
              </w:rPr>
            </w:r>
            <w:r w:rsidR="001709D9">
              <w:rPr>
                <w:noProof/>
                <w:webHidden/>
              </w:rPr>
              <w:fldChar w:fldCharType="separate"/>
            </w:r>
            <w:r w:rsidR="007705C5">
              <w:rPr>
                <w:noProof/>
                <w:webHidden/>
              </w:rPr>
              <w:t>3</w:t>
            </w:r>
            <w:r w:rsidR="001709D9">
              <w:rPr>
                <w:noProof/>
                <w:webHidden/>
              </w:rPr>
              <w:fldChar w:fldCharType="end"/>
            </w:r>
          </w:hyperlink>
        </w:p>
        <w:p w:rsidR="00D75436" w:rsidRDefault="00D07E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709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709D9">
              <w:rPr>
                <w:noProof/>
                <w:webHidden/>
              </w:rPr>
            </w:r>
            <w:r w:rsidR="001709D9">
              <w:rPr>
                <w:noProof/>
                <w:webHidden/>
              </w:rPr>
              <w:fldChar w:fldCharType="separate"/>
            </w:r>
            <w:r w:rsidR="007705C5">
              <w:rPr>
                <w:noProof/>
                <w:webHidden/>
              </w:rPr>
              <w:t>3</w:t>
            </w:r>
            <w:r w:rsidR="001709D9">
              <w:rPr>
                <w:noProof/>
                <w:webHidden/>
              </w:rPr>
              <w:fldChar w:fldCharType="end"/>
            </w:r>
          </w:hyperlink>
        </w:p>
        <w:p w:rsidR="00D75436" w:rsidRDefault="00D07E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709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709D9">
              <w:rPr>
                <w:noProof/>
                <w:webHidden/>
              </w:rPr>
            </w:r>
            <w:r w:rsidR="001709D9">
              <w:rPr>
                <w:noProof/>
                <w:webHidden/>
              </w:rPr>
              <w:fldChar w:fldCharType="separate"/>
            </w:r>
            <w:r w:rsidR="007705C5">
              <w:rPr>
                <w:noProof/>
                <w:webHidden/>
              </w:rPr>
              <w:t>4</w:t>
            </w:r>
            <w:r w:rsidR="001709D9">
              <w:rPr>
                <w:noProof/>
                <w:webHidden/>
              </w:rPr>
              <w:fldChar w:fldCharType="end"/>
            </w:r>
          </w:hyperlink>
        </w:p>
        <w:p w:rsidR="00D75436" w:rsidRDefault="00D07E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709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709D9">
              <w:rPr>
                <w:noProof/>
                <w:webHidden/>
              </w:rPr>
            </w:r>
            <w:r w:rsidR="001709D9">
              <w:rPr>
                <w:noProof/>
                <w:webHidden/>
              </w:rPr>
              <w:fldChar w:fldCharType="separate"/>
            </w:r>
            <w:r w:rsidR="007705C5">
              <w:rPr>
                <w:noProof/>
                <w:webHidden/>
              </w:rPr>
              <w:t>6</w:t>
            </w:r>
            <w:r w:rsidR="001709D9">
              <w:rPr>
                <w:noProof/>
                <w:webHidden/>
              </w:rPr>
              <w:fldChar w:fldCharType="end"/>
            </w:r>
          </w:hyperlink>
        </w:p>
        <w:p w:rsidR="00D75436" w:rsidRDefault="00D07E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709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709D9">
              <w:rPr>
                <w:noProof/>
                <w:webHidden/>
              </w:rPr>
            </w:r>
            <w:r w:rsidR="001709D9">
              <w:rPr>
                <w:noProof/>
                <w:webHidden/>
              </w:rPr>
              <w:fldChar w:fldCharType="separate"/>
            </w:r>
            <w:r w:rsidR="007705C5">
              <w:rPr>
                <w:noProof/>
                <w:webHidden/>
              </w:rPr>
              <w:t>6</w:t>
            </w:r>
            <w:r w:rsidR="001709D9">
              <w:rPr>
                <w:noProof/>
                <w:webHidden/>
              </w:rPr>
              <w:fldChar w:fldCharType="end"/>
            </w:r>
          </w:hyperlink>
        </w:p>
        <w:p w:rsidR="00D75436" w:rsidRDefault="00D07E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709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709D9">
              <w:rPr>
                <w:noProof/>
                <w:webHidden/>
              </w:rPr>
            </w:r>
            <w:r w:rsidR="001709D9">
              <w:rPr>
                <w:noProof/>
                <w:webHidden/>
              </w:rPr>
              <w:fldChar w:fldCharType="separate"/>
            </w:r>
            <w:r w:rsidR="007705C5">
              <w:rPr>
                <w:noProof/>
                <w:webHidden/>
              </w:rPr>
              <w:t>6</w:t>
            </w:r>
            <w:r w:rsidR="001709D9">
              <w:rPr>
                <w:noProof/>
                <w:webHidden/>
              </w:rPr>
              <w:fldChar w:fldCharType="end"/>
            </w:r>
          </w:hyperlink>
        </w:p>
        <w:p w:rsidR="00D75436" w:rsidRDefault="00D07E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709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709D9">
              <w:rPr>
                <w:noProof/>
                <w:webHidden/>
              </w:rPr>
            </w:r>
            <w:r w:rsidR="001709D9">
              <w:rPr>
                <w:noProof/>
                <w:webHidden/>
              </w:rPr>
              <w:fldChar w:fldCharType="separate"/>
            </w:r>
            <w:r w:rsidR="007705C5">
              <w:rPr>
                <w:noProof/>
                <w:webHidden/>
              </w:rPr>
              <w:t>6</w:t>
            </w:r>
            <w:r w:rsidR="001709D9">
              <w:rPr>
                <w:noProof/>
                <w:webHidden/>
              </w:rPr>
              <w:fldChar w:fldCharType="end"/>
            </w:r>
          </w:hyperlink>
        </w:p>
        <w:p w:rsidR="00D75436" w:rsidRDefault="00D07E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709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709D9">
              <w:rPr>
                <w:noProof/>
                <w:webHidden/>
              </w:rPr>
            </w:r>
            <w:r w:rsidR="001709D9">
              <w:rPr>
                <w:noProof/>
                <w:webHidden/>
              </w:rPr>
              <w:fldChar w:fldCharType="separate"/>
            </w:r>
            <w:r w:rsidR="007705C5">
              <w:rPr>
                <w:noProof/>
                <w:webHidden/>
              </w:rPr>
              <w:t>7</w:t>
            </w:r>
            <w:r w:rsidR="001709D9">
              <w:rPr>
                <w:noProof/>
                <w:webHidden/>
              </w:rPr>
              <w:fldChar w:fldCharType="end"/>
            </w:r>
          </w:hyperlink>
        </w:p>
        <w:p w:rsidR="00D75436" w:rsidRDefault="00D07E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709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709D9">
              <w:rPr>
                <w:noProof/>
                <w:webHidden/>
              </w:rPr>
            </w:r>
            <w:r w:rsidR="001709D9">
              <w:rPr>
                <w:noProof/>
                <w:webHidden/>
              </w:rPr>
              <w:fldChar w:fldCharType="separate"/>
            </w:r>
            <w:r w:rsidR="007705C5">
              <w:rPr>
                <w:noProof/>
                <w:webHidden/>
              </w:rPr>
              <w:t>8</w:t>
            </w:r>
            <w:r w:rsidR="001709D9">
              <w:rPr>
                <w:noProof/>
                <w:webHidden/>
              </w:rPr>
              <w:fldChar w:fldCharType="end"/>
            </w:r>
          </w:hyperlink>
        </w:p>
        <w:p w:rsidR="00D75436" w:rsidRDefault="00D07E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709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709D9">
              <w:rPr>
                <w:noProof/>
                <w:webHidden/>
              </w:rPr>
            </w:r>
            <w:r w:rsidR="001709D9">
              <w:rPr>
                <w:noProof/>
                <w:webHidden/>
              </w:rPr>
              <w:fldChar w:fldCharType="separate"/>
            </w:r>
            <w:r w:rsidR="007705C5">
              <w:rPr>
                <w:noProof/>
                <w:webHidden/>
              </w:rPr>
              <w:t>9</w:t>
            </w:r>
            <w:r w:rsidR="001709D9">
              <w:rPr>
                <w:noProof/>
                <w:webHidden/>
              </w:rPr>
              <w:fldChar w:fldCharType="end"/>
            </w:r>
          </w:hyperlink>
        </w:p>
        <w:p w:rsidR="00D75436" w:rsidRDefault="00D07E6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709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709D9">
              <w:rPr>
                <w:noProof/>
                <w:webHidden/>
              </w:rPr>
            </w:r>
            <w:r w:rsidR="001709D9">
              <w:rPr>
                <w:noProof/>
                <w:webHidden/>
              </w:rPr>
              <w:fldChar w:fldCharType="separate"/>
            </w:r>
            <w:r w:rsidR="007705C5">
              <w:rPr>
                <w:noProof/>
                <w:webHidden/>
              </w:rPr>
              <w:t>11</w:t>
            </w:r>
            <w:r w:rsidR="001709D9">
              <w:rPr>
                <w:noProof/>
                <w:webHidden/>
              </w:rPr>
              <w:fldChar w:fldCharType="end"/>
            </w:r>
          </w:hyperlink>
        </w:p>
        <w:p w:rsidR="00D75436" w:rsidRDefault="00D07E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709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709D9">
              <w:rPr>
                <w:noProof/>
                <w:webHidden/>
              </w:rPr>
            </w:r>
            <w:r w:rsidR="001709D9">
              <w:rPr>
                <w:noProof/>
                <w:webHidden/>
              </w:rPr>
              <w:fldChar w:fldCharType="separate"/>
            </w:r>
            <w:r w:rsidR="007705C5">
              <w:rPr>
                <w:noProof/>
                <w:webHidden/>
              </w:rPr>
              <w:t>11</w:t>
            </w:r>
            <w:r w:rsidR="001709D9">
              <w:rPr>
                <w:noProof/>
                <w:webHidden/>
              </w:rPr>
              <w:fldChar w:fldCharType="end"/>
            </w:r>
          </w:hyperlink>
        </w:p>
        <w:p w:rsidR="00D75436" w:rsidRDefault="00D07E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709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709D9">
              <w:rPr>
                <w:noProof/>
                <w:webHidden/>
              </w:rPr>
            </w:r>
            <w:r w:rsidR="001709D9">
              <w:rPr>
                <w:noProof/>
                <w:webHidden/>
              </w:rPr>
              <w:fldChar w:fldCharType="separate"/>
            </w:r>
            <w:r w:rsidR="007705C5">
              <w:rPr>
                <w:noProof/>
                <w:webHidden/>
              </w:rPr>
              <w:t>11</w:t>
            </w:r>
            <w:r w:rsidR="001709D9">
              <w:rPr>
                <w:noProof/>
                <w:webHidden/>
              </w:rPr>
              <w:fldChar w:fldCharType="end"/>
            </w:r>
          </w:hyperlink>
        </w:p>
        <w:p w:rsidR="00D75436" w:rsidRDefault="00D07E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709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709D9">
              <w:rPr>
                <w:noProof/>
                <w:webHidden/>
              </w:rPr>
            </w:r>
            <w:r w:rsidR="001709D9">
              <w:rPr>
                <w:noProof/>
                <w:webHidden/>
              </w:rPr>
              <w:fldChar w:fldCharType="separate"/>
            </w:r>
            <w:r w:rsidR="007705C5">
              <w:rPr>
                <w:noProof/>
                <w:webHidden/>
              </w:rPr>
              <w:t>11</w:t>
            </w:r>
            <w:r w:rsidR="001709D9">
              <w:rPr>
                <w:noProof/>
                <w:webHidden/>
              </w:rPr>
              <w:fldChar w:fldCharType="end"/>
            </w:r>
          </w:hyperlink>
        </w:p>
        <w:p w:rsidR="00D75436" w:rsidRDefault="00D07E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709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709D9">
              <w:rPr>
                <w:noProof/>
                <w:webHidden/>
              </w:rPr>
            </w:r>
            <w:r w:rsidR="001709D9">
              <w:rPr>
                <w:noProof/>
                <w:webHidden/>
              </w:rPr>
              <w:fldChar w:fldCharType="separate"/>
            </w:r>
            <w:r w:rsidR="007705C5">
              <w:rPr>
                <w:noProof/>
                <w:webHidden/>
              </w:rPr>
              <w:t>12</w:t>
            </w:r>
            <w:r w:rsidR="001709D9">
              <w:rPr>
                <w:noProof/>
                <w:webHidden/>
              </w:rPr>
              <w:fldChar w:fldCharType="end"/>
            </w:r>
          </w:hyperlink>
        </w:p>
        <w:p w:rsidR="00D75436" w:rsidRDefault="00D07E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709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709D9">
              <w:rPr>
                <w:noProof/>
                <w:webHidden/>
              </w:rPr>
            </w:r>
            <w:r w:rsidR="001709D9">
              <w:rPr>
                <w:noProof/>
                <w:webHidden/>
              </w:rPr>
              <w:fldChar w:fldCharType="separate"/>
            </w:r>
            <w:r w:rsidR="007705C5">
              <w:rPr>
                <w:noProof/>
                <w:webHidden/>
              </w:rPr>
              <w:t>12</w:t>
            </w:r>
            <w:r w:rsidR="001709D9">
              <w:rPr>
                <w:noProof/>
                <w:webHidden/>
              </w:rPr>
              <w:fldChar w:fldCharType="end"/>
            </w:r>
          </w:hyperlink>
        </w:p>
        <w:p w:rsidR="00D75436" w:rsidRDefault="00D07E6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709D9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709D9">
              <w:rPr>
                <w:noProof/>
                <w:webHidden/>
              </w:rPr>
            </w:r>
            <w:r w:rsidR="001709D9">
              <w:rPr>
                <w:noProof/>
                <w:webHidden/>
              </w:rPr>
              <w:fldChar w:fldCharType="separate"/>
            </w:r>
            <w:r w:rsidR="007705C5">
              <w:rPr>
                <w:noProof/>
                <w:webHidden/>
              </w:rPr>
              <w:t>12</w:t>
            </w:r>
            <w:r w:rsidR="001709D9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709D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Развитие у обучающихся навыков управления бизнес-процессами на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предприятии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индустрии событий с точки зрения обеспечения качества оказания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конгрессно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-выставочных и событийных услуг.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Управление качеством в профессиональной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65E78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65E7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65E7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65E7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65E7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965E7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65E78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965E78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965E7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65E7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65E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65E78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965E7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65E78">
              <w:rPr>
                <w:rFonts w:ascii="Times New Roman" w:hAnsi="Times New Roman" w:cs="Times New Roman"/>
              </w:rPr>
              <w:t xml:space="preserve"> управлять процессами подготовки и результатами участия в мероприятии в сфере </w:t>
            </w:r>
            <w:proofErr w:type="spellStart"/>
            <w:r w:rsidRPr="00965E78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Pr="00965E78">
              <w:rPr>
                <w:rFonts w:ascii="Times New Roman" w:hAnsi="Times New Roman" w:cs="Times New Roman"/>
              </w:rPr>
              <w:t>-выставочных и событийных услуг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65E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5E78">
              <w:rPr>
                <w:rFonts w:ascii="Times New Roman" w:hAnsi="Times New Roman" w:cs="Times New Roman"/>
                <w:lang w:bidi="ru-RU"/>
              </w:rPr>
              <w:t xml:space="preserve">ПК-3.2 - Обеспечивает эффективную подготовку к участию в </w:t>
            </w:r>
            <w:proofErr w:type="gramStart"/>
            <w:r w:rsidRPr="00965E78">
              <w:rPr>
                <w:rFonts w:ascii="Times New Roman" w:hAnsi="Times New Roman" w:cs="Times New Roman"/>
                <w:lang w:bidi="ru-RU"/>
              </w:rPr>
              <w:t>мероприятии</w:t>
            </w:r>
            <w:proofErr w:type="gramEnd"/>
            <w:r w:rsidRPr="00965E78">
              <w:rPr>
                <w:rFonts w:ascii="Times New Roman" w:hAnsi="Times New Roman" w:cs="Times New Roman"/>
                <w:lang w:bidi="ru-RU"/>
              </w:rPr>
              <w:t xml:space="preserve"> в сфере </w:t>
            </w:r>
            <w:proofErr w:type="spellStart"/>
            <w:r w:rsidRPr="00965E78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965E78">
              <w:rPr>
                <w:rFonts w:ascii="Times New Roman" w:hAnsi="Times New Roman" w:cs="Times New Roman"/>
                <w:lang w:bidi="ru-RU"/>
              </w:rPr>
              <w:t xml:space="preserve">-выставочных и событийных услуг, осуществляет управление бизнес-процессом участия в мероприятии в сфере </w:t>
            </w:r>
            <w:proofErr w:type="spellStart"/>
            <w:r w:rsidRPr="00965E78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965E78">
              <w:rPr>
                <w:rFonts w:ascii="Times New Roman" w:hAnsi="Times New Roman" w:cs="Times New Roman"/>
                <w:lang w:bidi="ru-RU"/>
              </w:rPr>
              <w:t>-выставочных и событийных услуг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65E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5E78">
              <w:rPr>
                <w:rFonts w:ascii="Times New Roman" w:hAnsi="Times New Roman" w:cs="Times New Roman"/>
              </w:rPr>
              <w:t xml:space="preserve">Знать: </w:t>
            </w:r>
            <w:r w:rsidR="00316402" w:rsidRPr="00965E78">
              <w:rPr>
                <w:rFonts w:ascii="Times New Roman" w:hAnsi="Times New Roman" w:cs="Times New Roman"/>
              </w:rPr>
              <w:t xml:space="preserve">сущность и особенности  управления бизнес-процессом участия в мероприятии в сфере </w:t>
            </w:r>
            <w:proofErr w:type="spellStart"/>
            <w:r w:rsidR="00316402" w:rsidRPr="00965E78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316402" w:rsidRPr="00965E78">
              <w:rPr>
                <w:rFonts w:ascii="Times New Roman" w:hAnsi="Times New Roman" w:cs="Times New Roman"/>
              </w:rPr>
              <w:t>-выставочных и событийных услуг с точки зрения обеспечения его качества</w:t>
            </w:r>
            <w:r w:rsidRPr="00965E7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65E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5E78">
              <w:rPr>
                <w:rFonts w:ascii="Times New Roman" w:hAnsi="Times New Roman" w:cs="Times New Roman"/>
              </w:rPr>
              <w:t xml:space="preserve">Уметь: </w:t>
            </w:r>
            <w:r w:rsidR="00FD518F" w:rsidRPr="00965E78">
              <w:rPr>
                <w:rFonts w:ascii="Times New Roman" w:hAnsi="Times New Roman" w:cs="Times New Roman"/>
              </w:rPr>
              <w:t xml:space="preserve">осуществлять управление бизнес-процессом участия в </w:t>
            </w:r>
            <w:proofErr w:type="gramStart"/>
            <w:r w:rsidR="00FD518F" w:rsidRPr="00965E78">
              <w:rPr>
                <w:rFonts w:ascii="Times New Roman" w:hAnsi="Times New Roman" w:cs="Times New Roman"/>
              </w:rPr>
              <w:t>мероприятии</w:t>
            </w:r>
            <w:proofErr w:type="gramEnd"/>
            <w:r w:rsidR="00FD518F" w:rsidRPr="00965E78">
              <w:rPr>
                <w:rFonts w:ascii="Times New Roman" w:hAnsi="Times New Roman" w:cs="Times New Roman"/>
              </w:rPr>
              <w:t xml:space="preserve"> с позиции качества процессов и результата при заданных внешних и внутренних условиях</w:t>
            </w:r>
            <w:r w:rsidRPr="00965E78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965E7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65E7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65E78">
              <w:rPr>
                <w:rFonts w:ascii="Times New Roman" w:hAnsi="Times New Roman" w:cs="Times New Roman"/>
              </w:rPr>
              <w:t xml:space="preserve">навыками постановки целей по качеству в сфере </w:t>
            </w:r>
            <w:proofErr w:type="spellStart"/>
            <w:r w:rsidR="00FD518F" w:rsidRPr="00965E78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965E78">
              <w:rPr>
                <w:rFonts w:ascii="Times New Roman" w:hAnsi="Times New Roman" w:cs="Times New Roman"/>
              </w:rPr>
              <w:t>-выставочных и событийных услуг, контроля их достижения</w:t>
            </w:r>
            <w:r w:rsidRPr="00965E7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65E78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65E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65E78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965E78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965E78">
              <w:rPr>
                <w:rFonts w:ascii="Times New Roman" w:hAnsi="Times New Roman" w:cs="Times New Roman"/>
              </w:rPr>
              <w:t xml:space="preserve"> осуществлять операционную деятельность по оказанию </w:t>
            </w:r>
            <w:proofErr w:type="spellStart"/>
            <w:r w:rsidRPr="00965E78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Pr="00965E78">
              <w:rPr>
                <w:rFonts w:ascii="Times New Roman" w:hAnsi="Times New Roman" w:cs="Times New Roman"/>
              </w:rPr>
              <w:t>-выставочных и событийных услуг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65E7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65E78">
              <w:rPr>
                <w:rFonts w:ascii="Times New Roman" w:hAnsi="Times New Roman" w:cs="Times New Roman"/>
                <w:lang w:bidi="ru-RU"/>
              </w:rPr>
              <w:t xml:space="preserve">ПК-2.2 - Обеспечивает эффективное оказание </w:t>
            </w:r>
            <w:proofErr w:type="spellStart"/>
            <w:r w:rsidRPr="00965E78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965E78">
              <w:rPr>
                <w:rFonts w:ascii="Times New Roman" w:hAnsi="Times New Roman" w:cs="Times New Roman"/>
                <w:lang w:bidi="ru-RU"/>
              </w:rPr>
              <w:t xml:space="preserve">-выставочных и событийных услуг в </w:t>
            </w:r>
            <w:proofErr w:type="gramStart"/>
            <w:r w:rsidRPr="00965E78">
              <w:rPr>
                <w:rFonts w:ascii="Times New Roman" w:hAnsi="Times New Roman" w:cs="Times New Roman"/>
                <w:lang w:bidi="ru-RU"/>
              </w:rPr>
              <w:t>соответствии</w:t>
            </w:r>
            <w:proofErr w:type="gramEnd"/>
            <w:r w:rsidRPr="00965E78">
              <w:rPr>
                <w:rFonts w:ascii="Times New Roman" w:hAnsi="Times New Roman" w:cs="Times New Roman"/>
                <w:lang w:bidi="ru-RU"/>
              </w:rPr>
              <w:t xml:space="preserve"> с установленными условиями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965E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5E78">
              <w:rPr>
                <w:rFonts w:ascii="Times New Roman" w:hAnsi="Times New Roman" w:cs="Times New Roman"/>
              </w:rPr>
              <w:t xml:space="preserve">Знать: </w:t>
            </w:r>
            <w:r w:rsidR="00316402" w:rsidRPr="00965E78">
              <w:rPr>
                <w:rFonts w:ascii="Times New Roman" w:hAnsi="Times New Roman" w:cs="Times New Roman"/>
              </w:rPr>
              <w:t xml:space="preserve">структуру, особенности и технологию обеспечения качества оказания </w:t>
            </w:r>
            <w:proofErr w:type="spellStart"/>
            <w:r w:rsidR="00316402" w:rsidRPr="00965E78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316402" w:rsidRPr="00965E78">
              <w:rPr>
                <w:rFonts w:ascii="Times New Roman" w:hAnsi="Times New Roman" w:cs="Times New Roman"/>
              </w:rPr>
              <w:t>-выставочных и событийных услуг; сущность, особенности, организацию и управление качеством</w:t>
            </w:r>
            <w:r w:rsidRPr="00965E78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965E7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65E78">
              <w:rPr>
                <w:rFonts w:ascii="Times New Roman" w:hAnsi="Times New Roman" w:cs="Times New Roman"/>
              </w:rPr>
              <w:t xml:space="preserve">Уметь: </w:t>
            </w:r>
            <w:r w:rsidR="00FD518F" w:rsidRPr="00965E78">
              <w:rPr>
                <w:rFonts w:ascii="Times New Roman" w:hAnsi="Times New Roman" w:cs="Times New Roman"/>
              </w:rPr>
              <w:t xml:space="preserve">обеспечивать планирование, реализацию и контроль качества оказания </w:t>
            </w:r>
            <w:proofErr w:type="spellStart"/>
            <w:r w:rsidR="00FD518F" w:rsidRPr="00965E78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965E78">
              <w:rPr>
                <w:rFonts w:ascii="Times New Roman" w:hAnsi="Times New Roman" w:cs="Times New Roman"/>
              </w:rPr>
              <w:t>-выставочных и событийных услуг</w:t>
            </w:r>
            <w:r w:rsidRPr="00965E78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965E7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65E7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65E78">
              <w:rPr>
                <w:rFonts w:ascii="Times New Roman" w:hAnsi="Times New Roman" w:cs="Times New Roman"/>
              </w:rPr>
              <w:t xml:space="preserve">навыками разработки внутренних стандартов для оказания </w:t>
            </w:r>
            <w:proofErr w:type="spellStart"/>
            <w:r w:rsidR="00FD518F" w:rsidRPr="00965E78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965E78">
              <w:rPr>
                <w:rFonts w:ascii="Times New Roman" w:hAnsi="Times New Roman" w:cs="Times New Roman"/>
              </w:rPr>
              <w:t>-выставочных и событийных услуг и контроля их качества; методами, приемами и способами обеспечения качества услуг</w:t>
            </w:r>
            <w:r w:rsidRPr="00965E78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965E7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Понятие и модели качества услуг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Введение в дисциплину. Основные термины и определения. Подходы к определению качества. Особенности качества услуг. Качество как составляющий элемент конкурентоспособности. Исторические аспекты управления качеством. Эволюция управления качеством. Зарубежные модели управления качеством. Национальные концепции управления качеством. Модель </w:t>
            </w:r>
            <w:proofErr w:type="spellStart"/>
            <w:r w:rsidRPr="00352B6F">
              <w:rPr>
                <w:lang w:bidi="ru-RU"/>
              </w:rPr>
              <w:t>Донабедиана</w:t>
            </w:r>
            <w:proofErr w:type="spellEnd"/>
            <w:r w:rsidRPr="00352B6F">
              <w:rPr>
                <w:lang w:bidi="ru-RU"/>
              </w:rPr>
              <w:t xml:space="preserve">. Модель </w:t>
            </w:r>
            <w:proofErr w:type="spellStart"/>
            <w:r w:rsidRPr="00352B6F">
              <w:rPr>
                <w:lang w:bidi="ru-RU"/>
              </w:rPr>
              <w:t>Грёнроса</w:t>
            </w:r>
            <w:proofErr w:type="spellEnd"/>
            <w:r w:rsidRPr="00352B6F">
              <w:rPr>
                <w:lang w:bidi="ru-RU"/>
              </w:rPr>
              <w:t xml:space="preserve">. Модель </w:t>
            </w:r>
            <w:proofErr w:type="spellStart"/>
            <w:r w:rsidRPr="00352B6F">
              <w:rPr>
                <w:lang w:bidi="ru-RU"/>
              </w:rPr>
              <w:t>Кано</w:t>
            </w:r>
            <w:proofErr w:type="spellEnd"/>
            <w:r w:rsidRPr="00352B6F">
              <w:rPr>
                <w:lang w:bidi="ru-RU"/>
              </w:rPr>
              <w:t>. Модель разрывов качества.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Теория измерения и оценки качества услуг, методы оценки качества услуг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измерения и оценки качества. Факторы, влияющие на измерение качества услуг. Уровни и условия сравнимости. Шкалы. Проблемы измерения. Квалиметрия: понятие, виды, объекты.  Показатели качества и их классификация. Методы и средства квалиметрии. Особенности методов оценки качества услуг. Объективные методы. Субъективные методы: </w:t>
            </w:r>
            <w:proofErr w:type="spellStart"/>
            <w:r w:rsidRPr="00352B6F">
              <w:rPr>
                <w:lang w:bidi="ru-RU"/>
              </w:rPr>
              <w:t>критериальный</w:t>
            </w:r>
            <w:proofErr w:type="spellEnd"/>
            <w:r w:rsidRPr="00352B6F">
              <w:rPr>
                <w:lang w:bidi="ru-RU"/>
              </w:rPr>
              <w:t xml:space="preserve"> подход. Субъективные методы: проблемный подход. Комбинированные методы. Методы оценки с позиций производителя. Структура, особенности и технология эффективного оказания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>-выставочных услуг в соответствии с установленными условиями как объект оценки качества.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Сущность управления качеством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Управление качеством: понятие, функции и методы. Системный подход к управлению качеством. Стратегическое и тактическое управление качеством в индустрии событий. Планирование качества услуги. Оперативное управление. Контроль качества. Обеспечение качества. Улучшение качества. Государственное регулирование качества и безопасности продукции и услуг. Законодательно-правовое и нормативное обеспечение безопасности и качества. Понятие, цели, принципы и функции стандартизации. Процесс стандартизации услуг. Автоматизация услуг как направление стандартизации. Стандартизация услуг в индустрии событий. Разработка внутренних стандартов для оказания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>-выставочных и событийных услуг и контроля их качества. Сущность и особенности  управления бизнес-процессом участия в мероприятии с точки зрения обеспечения его качества. Сущность и особенности  управления процессом организации мероприятия с точки зрения обеспечения его качества.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Системы управления качеством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Системы менеджмента качества на основе международных стандартов ИСО серии 9000. Системы экологического менеджмента на основе международных стандартов ИСО серии 14000. Отраслевые системы менеджмента качества. Модели премий в области в области качества. Интегрированные системы менеджмента на основе международных стандартов.  Международные премии в области качества. Национальные премии в области качества. Российские премии в области качества. Концепция </w:t>
            </w:r>
            <w:proofErr w:type="gramStart"/>
            <w:r w:rsidRPr="00352B6F">
              <w:rPr>
                <w:lang w:bidi="ru-RU"/>
              </w:rPr>
              <w:t>всеобщего</w:t>
            </w:r>
            <w:proofErr w:type="gramEnd"/>
            <w:r w:rsidRPr="00352B6F">
              <w:rPr>
                <w:lang w:bidi="ru-RU"/>
              </w:rPr>
              <w:t xml:space="preserve"> управления качеством (TQM). Реализация TQM в индустрии событий.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Методы управления качеством в индустрии событий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Инструменты и технологии управления качеством. Технология развертывания функции качества. Развертывание функции качества (структурирование функции качества, </w:t>
            </w:r>
            <w:proofErr w:type="spellStart"/>
            <w:r w:rsidRPr="00352B6F">
              <w:rPr>
                <w:lang w:bidi="ru-RU"/>
              </w:rPr>
              <w:t>Quality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Function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Deployment</w:t>
            </w:r>
            <w:proofErr w:type="spellEnd"/>
            <w:r w:rsidRPr="00352B6F">
              <w:rPr>
                <w:lang w:bidi="ru-RU"/>
              </w:rPr>
              <w:t xml:space="preserve">, QFD). </w:t>
            </w:r>
            <w:proofErr w:type="spellStart"/>
            <w:r w:rsidRPr="00352B6F">
              <w:rPr>
                <w:lang w:bidi="ru-RU"/>
              </w:rPr>
              <w:t>Бенчмаркинг</w:t>
            </w:r>
            <w:proofErr w:type="spellEnd"/>
            <w:r w:rsidRPr="00352B6F">
              <w:rPr>
                <w:lang w:bidi="ru-RU"/>
              </w:rPr>
              <w:t>. Анализ видов и последствий отказов (</w:t>
            </w:r>
            <w:proofErr w:type="spellStart"/>
            <w:r w:rsidRPr="00352B6F">
              <w:rPr>
                <w:lang w:bidi="ru-RU"/>
              </w:rPr>
              <w:t>Failure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Mode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and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Effects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Analysis</w:t>
            </w:r>
            <w:proofErr w:type="spellEnd"/>
            <w:r w:rsidRPr="00352B6F">
              <w:rPr>
                <w:lang w:bidi="ru-RU"/>
              </w:rPr>
              <w:t>, FMEA). Пока-</w:t>
            </w:r>
            <w:proofErr w:type="spellStart"/>
            <w:r w:rsidRPr="00352B6F">
              <w:rPr>
                <w:lang w:bidi="ru-RU"/>
              </w:rPr>
              <w:t>йоке</w:t>
            </w:r>
            <w:proofErr w:type="spellEnd"/>
            <w:r w:rsidRPr="00352B6F">
              <w:rPr>
                <w:lang w:bidi="ru-RU"/>
              </w:rPr>
              <w:t xml:space="preserve"> (</w:t>
            </w:r>
            <w:proofErr w:type="spellStart"/>
            <w:r w:rsidRPr="00352B6F">
              <w:rPr>
                <w:lang w:bidi="ru-RU"/>
              </w:rPr>
              <w:t>poka-yoke</w:t>
            </w:r>
            <w:proofErr w:type="spellEnd"/>
            <w:r w:rsidRPr="00352B6F">
              <w:rPr>
                <w:lang w:bidi="ru-RU"/>
              </w:rPr>
              <w:t>). Простые статистические методы контроля. Семь инструментов управления качеством. Сбалансированная система показателей. CALS-технологии. Концепция «Шесть сигм». Статистические методы контроля качества. «Система 20 ключей». Применение методов управления качеством в индустрии событий.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Организация управления качеством в индустрии событий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Формирование системы менеджмента качества на </w:t>
            </w:r>
            <w:proofErr w:type="gramStart"/>
            <w:r w:rsidRPr="00352B6F">
              <w:rPr>
                <w:lang w:bidi="ru-RU"/>
              </w:rPr>
              <w:t>предприятии</w:t>
            </w:r>
            <w:proofErr w:type="gramEnd"/>
            <w:r w:rsidRPr="00352B6F">
              <w:rPr>
                <w:lang w:bidi="ru-RU"/>
              </w:rPr>
              <w:t xml:space="preserve"> индустрии событий. Организация и функционирование службы управления качеством на </w:t>
            </w:r>
            <w:proofErr w:type="gramStart"/>
            <w:r w:rsidRPr="00352B6F">
              <w:rPr>
                <w:lang w:bidi="ru-RU"/>
              </w:rPr>
              <w:t>предприятии</w:t>
            </w:r>
            <w:proofErr w:type="gramEnd"/>
            <w:r w:rsidRPr="00352B6F">
              <w:rPr>
                <w:lang w:bidi="ru-RU"/>
              </w:rPr>
              <w:t xml:space="preserve"> индустрии событий. Организационная культура. Информационно-коммуникационная система. Работа с сотрудниками. Культура качества. Аудит системы менеджмента качества на </w:t>
            </w:r>
            <w:proofErr w:type="gramStart"/>
            <w:r w:rsidRPr="00352B6F">
              <w:rPr>
                <w:lang w:bidi="ru-RU"/>
              </w:rPr>
              <w:t>предприятии</w:t>
            </w:r>
            <w:proofErr w:type="gramEnd"/>
            <w:r w:rsidRPr="00352B6F">
              <w:rPr>
                <w:lang w:bidi="ru-RU"/>
              </w:rPr>
              <w:t xml:space="preserve">. </w:t>
            </w:r>
            <w:proofErr w:type="gramStart"/>
            <w:r w:rsidRPr="00352B6F">
              <w:rPr>
                <w:lang w:bidi="ru-RU"/>
              </w:rPr>
              <w:t>Экономический механизм</w:t>
            </w:r>
            <w:proofErr w:type="gramEnd"/>
            <w:r w:rsidRPr="00352B6F">
              <w:rPr>
                <w:lang w:bidi="ru-RU"/>
              </w:rPr>
              <w:t xml:space="preserve"> управления затратами в системе менеджмента качества в индустрии событий. Организация планирования, реализации и контроля качества оказания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>-выставочных и событийных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945"/>
        <w:gridCol w:w="316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8F28D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65E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Курочкина,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Ю.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5E78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качеством услуг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965E7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Ю.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Курочкина.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5E78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5E78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— 172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07E6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anchor="page/1" w:history="1">
              <w:r w:rsidR="00984247" w:rsidRPr="00965E78">
                <w:rPr>
                  <w:color w:val="00008B"/>
                  <w:u w:val="single"/>
                  <w:lang w:val="en-US"/>
                </w:rPr>
                <w:t>https://urait.ru/viewer/upravl ... kachestvom-uslug-512424#page/1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65E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Тебекин</w:t>
            </w:r>
            <w:proofErr w:type="spellEnd"/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5E78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качеством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965E7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Тебекин</w:t>
            </w:r>
            <w:proofErr w:type="spellEnd"/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5E78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5E78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— 410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965E78" w:rsidRDefault="00D07E6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anchor="page/1" w:history="1">
              <w:r w:rsidR="00984247">
                <w:rPr>
                  <w:color w:val="00008B"/>
                  <w:u w:val="single"/>
                </w:rPr>
                <w:t>https://urait.ru/viewer/upravlenie-kachestvom-510700#page/1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65E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Горбашко</w:t>
            </w:r>
            <w:proofErr w:type="spellEnd"/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5E78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качеством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965E7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/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Горбашко</w:t>
            </w:r>
            <w:proofErr w:type="spellEnd"/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5E78">
              <w:rPr>
                <w:rFonts w:ascii="Times New Roman" w:hAnsi="Times New Roman" w:cs="Times New Roman"/>
                <w:sz w:val="24"/>
                <w:szCs w:val="24"/>
              </w:rPr>
              <w:t xml:space="preserve">— 4-е изд., </w:t>
            </w:r>
            <w:proofErr w:type="spellStart"/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5E78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— 397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965E78" w:rsidRDefault="00D07E6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anchor="page/1" w:history="1">
              <w:r w:rsidR="00984247">
                <w:rPr>
                  <w:color w:val="00008B"/>
                  <w:u w:val="single"/>
                </w:rPr>
                <w:t>https://urait.ru/viewer/upravlenie-kachestvom-510566#page/1</w:t>
              </w:r>
            </w:hyperlink>
          </w:p>
        </w:tc>
      </w:tr>
      <w:tr w:rsidR="00262CF0" w:rsidRPr="008F28D6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965E7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Васин</w:t>
            </w:r>
            <w:proofErr w:type="gramEnd"/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,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5E78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Управление качеством. Всеобщий подход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965E78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/ 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Васин.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5E78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5E78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, 2023.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— 334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965E78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D07E6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anchor="page/1" w:history="1">
              <w:r w:rsidR="00984247" w:rsidRPr="00965E78">
                <w:rPr>
                  <w:color w:val="00008B"/>
                  <w:u w:val="single"/>
                  <w:lang w:val="en-US"/>
                </w:rPr>
                <w:t>https://urait.ru/viewer/upravl ... seobschiy-podhod-531776#page/1</w:t>
              </w:r>
            </w:hyperlink>
          </w:p>
        </w:tc>
      </w:tr>
    </w:tbl>
    <w:p w:rsidR="0091168E" w:rsidRPr="00965E78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D07E6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65E78" w:rsidTr="008416EB">
        <w:tc>
          <w:tcPr>
            <w:tcW w:w="7797" w:type="dxa"/>
            <w:shd w:val="clear" w:color="auto" w:fill="auto"/>
          </w:tcPr>
          <w:p w:rsidR="002C735C" w:rsidRPr="00965E7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65E7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965E7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65E7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65E78" w:rsidTr="008416EB">
        <w:tc>
          <w:tcPr>
            <w:tcW w:w="7797" w:type="dxa"/>
            <w:shd w:val="clear" w:color="auto" w:fill="auto"/>
          </w:tcPr>
          <w:p w:rsidR="002C735C" w:rsidRPr="00965E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5E78">
              <w:rPr>
                <w:sz w:val="22"/>
                <w:szCs w:val="22"/>
              </w:rPr>
              <w:t xml:space="preserve">Ауд. 311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65E78">
              <w:rPr>
                <w:sz w:val="22"/>
                <w:szCs w:val="22"/>
              </w:rPr>
              <w:t>комплексом</w:t>
            </w:r>
            <w:proofErr w:type="gramStart"/>
            <w:r w:rsidRPr="00965E78">
              <w:rPr>
                <w:sz w:val="22"/>
                <w:szCs w:val="22"/>
              </w:rPr>
              <w:t>.С</w:t>
            </w:r>
            <w:proofErr w:type="gramEnd"/>
            <w:r w:rsidRPr="00965E78">
              <w:rPr>
                <w:sz w:val="22"/>
                <w:szCs w:val="22"/>
              </w:rPr>
              <w:t>пециализированная</w:t>
            </w:r>
            <w:proofErr w:type="spellEnd"/>
            <w:r w:rsidRPr="00965E78">
              <w:rPr>
                <w:sz w:val="22"/>
                <w:szCs w:val="22"/>
              </w:rPr>
              <w:t xml:space="preserve">  мебель и оборудование: Учебная мебель на 145 посадочных мест, рабочее место преподавателя, доска меловая - 1 шт., стол - 3шт., тумба - 1шт., трибуна - 1шт., 3 судейских кресла. Компьютер </w:t>
            </w:r>
            <w:r w:rsidRPr="00965E78">
              <w:rPr>
                <w:sz w:val="22"/>
                <w:szCs w:val="22"/>
                <w:lang w:val="en-US"/>
              </w:rPr>
              <w:t>Intel</w:t>
            </w:r>
            <w:r w:rsidRPr="00965E78">
              <w:rPr>
                <w:sz w:val="22"/>
                <w:szCs w:val="22"/>
              </w:rPr>
              <w:t xml:space="preserve"> </w:t>
            </w:r>
            <w:r w:rsidRPr="00965E78">
              <w:rPr>
                <w:sz w:val="22"/>
                <w:szCs w:val="22"/>
                <w:lang w:val="en-US"/>
              </w:rPr>
              <w:t>Core</w:t>
            </w:r>
            <w:r w:rsidRPr="00965E78">
              <w:rPr>
                <w:sz w:val="22"/>
                <w:szCs w:val="22"/>
              </w:rPr>
              <w:t xml:space="preserve"> </w:t>
            </w:r>
            <w:proofErr w:type="spellStart"/>
            <w:r w:rsidRPr="00965E7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65E78">
              <w:rPr>
                <w:sz w:val="22"/>
                <w:szCs w:val="22"/>
              </w:rPr>
              <w:t xml:space="preserve">5-3570 </w:t>
            </w:r>
            <w:proofErr w:type="spellStart"/>
            <w:r w:rsidRPr="00965E78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965E78">
              <w:rPr>
                <w:sz w:val="22"/>
                <w:szCs w:val="22"/>
              </w:rPr>
              <w:t xml:space="preserve"> </w:t>
            </w:r>
            <w:r w:rsidRPr="00965E78">
              <w:rPr>
                <w:sz w:val="22"/>
                <w:szCs w:val="22"/>
                <w:lang w:val="en-US"/>
              </w:rPr>
              <w:t>GA</w:t>
            </w:r>
            <w:r w:rsidRPr="00965E78">
              <w:rPr>
                <w:sz w:val="22"/>
                <w:szCs w:val="22"/>
              </w:rPr>
              <w:t>-</w:t>
            </w:r>
            <w:r w:rsidRPr="00965E78">
              <w:rPr>
                <w:sz w:val="22"/>
                <w:szCs w:val="22"/>
                <w:lang w:val="en-US"/>
              </w:rPr>
              <w:t>H</w:t>
            </w:r>
            <w:r w:rsidRPr="00965E78">
              <w:rPr>
                <w:sz w:val="22"/>
                <w:szCs w:val="22"/>
              </w:rPr>
              <w:t>77</w:t>
            </w:r>
            <w:r w:rsidRPr="00965E78">
              <w:rPr>
                <w:sz w:val="22"/>
                <w:szCs w:val="22"/>
                <w:lang w:val="en-US"/>
              </w:rPr>
              <w:t>M</w:t>
            </w:r>
            <w:r w:rsidRPr="00965E78">
              <w:rPr>
                <w:sz w:val="22"/>
                <w:szCs w:val="22"/>
              </w:rPr>
              <w:t xml:space="preserve"> - 1 шт., Проектор </w:t>
            </w:r>
            <w:r w:rsidRPr="00965E78">
              <w:rPr>
                <w:sz w:val="22"/>
                <w:szCs w:val="22"/>
                <w:lang w:val="en-US"/>
              </w:rPr>
              <w:t>NEC</w:t>
            </w:r>
            <w:r w:rsidRPr="00965E78">
              <w:rPr>
                <w:sz w:val="22"/>
                <w:szCs w:val="22"/>
              </w:rPr>
              <w:t xml:space="preserve"> </w:t>
            </w:r>
            <w:r w:rsidRPr="00965E78">
              <w:rPr>
                <w:sz w:val="22"/>
                <w:szCs w:val="22"/>
                <w:lang w:val="en-US"/>
              </w:rPr>
              <w:t>NP</w:t>
            </w:r>
            <w:r w:rsidRPr="00965E78">
              <w:rPr>
                <w:sz w:val="22"/>
                <w:szCs w:val="22"/>
              </w:rPr>
              <w:t>-</w:t>
            </w:r>
            <w:r w:rsidRPr="00965E78">
              <w:rPr>
                <w:sz w:val="22"/>
                <w:szCs w:val="22"/>
                <w:lang w:val="en-US"/>
              </w:rPr>
              <w:t>P</w:t>
            </w:r>
            <w:r w:rsidRPr="00965E78">
              <w:rPr>
                <w:sz w:val="22"/>
                <w:szCs w:val="22"/>
              </w:rPr>
              <w:t>501</w:t>
            </w:r>
            <w:r w:rsidRPr="00965E78">
              <w:rPr>
                <w:sz w:val="22"/>
                <w:szCs w:val="22"/>
                <w:lang w:val="en-US"/>
              </w:rPr>
              <w:t>X</w:t>
            </w:r>
            <w:r w:rsidRPr="00965E78">
              <w:rPr>
                <w:sz w:val="22"/>
                <w:szCs w:val="22"/>
              </w:rPr>
              <w:t xml:space="preserve"> - 1 шт., Микшер </w:t>
            </w:r>
            <w:r w:rsidRPr="00965E78">
              <w:rPr>
                <w:sz w:val="22"/>
                <w:szCs w:val="22"/>
                <w:lang w:val="en-US"/>
              </w:rPr>
              <w:t>Yamaha</w:t>
            </w:r>
            <w:r w:rsidRPr="00965E78">
              <w:rPr>
                <w:sz w:val="22"/>
                <w:szCs w:val="22"/>
              </w:rPr>
              <w:t xml:space="preserve"> </w:t>
            </w:r>
            <w:r w:rsidRPr="00965E78">
              <w:rPr>
                <w:sz w:val="22"/>
                <w:szCs w:val="22"/>
                <w:lang w:val="en-US"/>
              </w:rPr>
              <w:t>MG</w:t>
            </w:r>
            <w:r w:rsidRPr="00965E78">
              <w:rPr>
                <w:sz w:val="22"/>
                <w:szCs w:val="22"/>
              </w:rPr>
              <w:t>-102</w:t>
            </w:r>
            <w:proofErr w:type="gramStart"/>
            <w:r w:rsidRPr="00965E78">
              <w:rPr>
                <w:sz w:val="22"/>
                <w:szCs w:val="22"/>
              </w:rPr>
              <w:t xml:space="preserve"> С</w:t>
            </w:r>
            <w:proofErr w:type="gramEnd"/>
            <w:r w:rsidRPr="00965E78">
              <w:rPr>
                <w:sz w:val="22"/>
                <w:szCs w:val="22"/>
              </w:rPr>
              <w:t xml:space="preserve"> - 1 шт., Экран с электроприводом - 1 шт., Усилитель </w:t>
            </w:r>
            <w:r w:rsidRPr="00965E78">
              <w:rPr>
                <w:sz w:val="22"/>
                <w:szCs w:val="22"/>
                <w:lang w:val="en-US"/>
              </w:rPr>
              <w:t>JPA</w:t>
            </w:r>
            <w:r w:rsidRPr="00965E78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65E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5E7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965E78">
              <w:rPr>
                <w:sz w:val="22"/>
                <w:szCs w:val="22"/>
              </w:rPr>
              <w:t>Красноармейская</w:t>
            </w:r>
            <w:proofErr w:type="gramEnd"/>
            <w:r w:rsidRPr="00965E7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965E7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65E78" w:rsidTr="008416EB">
        <w:tc>
          <w:tcPr>
            <w:tcW w:w="7797" w:type="dxa"/>
            <w:shd w:val="clear" w:color="auto" w:fill="auto"/>
          </w:tcPr>
          <w:p w:rsidR="002C735C" w:rsidRPr="00965E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5E78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65E78">
              <w:rPr>
                <w:sz w:val="22"/>
                <w:szCs w:val="22"/>
              </w:rPr>
              <w:t>комплексом</w:t>
            </w:r>
            <w:proofErr w:type="gramStart"/>
            <w:r w:rsidRPr="00965E78">
              <w:rPr>
                <w:sz w:val="22"/>
                <w:szCs w:val="22"/>
              </w:rPr>
              <w:t>.С</w:t>
            </w:r>
            <w:proofErr w:type="gramEnd"/>
            <w:r w:rsidRPr="00965E78">
              <w:rPr>
                <w:sz w:val="22"/>
                <w:szCs w:val="22"/>
              </w:rPr>
              <w:t>пециализированная</w:t>
            </w:r>
            <w:proofErr w:type="spellEnd"/>
            <w:r w:rsidRPr="00965E78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965E78">
              <w:rPr>
                <w:sz w:val="22"/>
                <w:szCs w:val="22"/>
              </w:rPr>
              <w:t>посадочных</w:t>
            </w:r>
            <w:proofErr w:type="gramEnd"/>
            <w:r w:rsidRPr="00965E78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965E78">
              <w:rPr>
                <w:sz w:val="22"/>
                <w:szCs w:val="22"/>
              </w:rPr>
              <w:t>.К</w:t>
            </w:r>
            <w:proofErr w:type="gramEnd"/>
            <w:r w:rsidRPr="00965E78">
              <w:rPr>
                <w:sz w:val="22"/>
                <w:szCs w:val="22"/>
              </w:rPr>
              <w:t>омпьютер в с</w:t>
            </w:r>
            <w:r w:rsidRPr="00965E78">
              <w:rPr>
                <w:sz w:val="22"/>
                <w:szCs w:val="22"/>
                <w:lang w:val="en-US"/>
              </w:rPr>
              <w:t>Intel</w:t>
            </w:r>
            <w:r w:rsidRPr="00965E78">
              <w:rPr>
                <w:sz w:val="22"/>
                <w:szCs w:val="22"/>
              </w:rPr>
              <w:t xml:space="preserve"> </w:t>
            </w:r>
            <w:proofErr w:type="spellStart"/>
            <w:r w:rsidRPr="00965E7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65E78">
              <w:rPr>
                <w:sz w:val="22"/>
                <w:szCs w:val="22"/>
              </w:rPr>
              <w:t>3 2100 3.3/4</w:t>
            </w:r>
            <w:r w:rsidRPr="00965E78">
              <w:rPr>
                <w:sz w:val="22"/>
                <w:szCs w:val="22"/>
                <w:lang w:val="en-US"/>
              </w:rPr>
              <w:t>Gb</w:t>
            </w:r>
            <w:r w:rsidRPr="00965E78">
              <w:rPr>
                <w:sz w:val="22"/>
                <w:szCs w:val="22"/>
              </w:rPr>
              <w:t>/500</w:t>
            </w:r>
            <w:r w:rsidRPr="00965E78">
              <w:rPr>
                <w:sz w:val="22"/>
                <w:szCs w:val="22"/>
                <w:lang w:val="en-US"/>
              </w:rPr>
              <w:t>Gb</w:t>
            </w:r>
            <w:r w:rsidRPr="00965E78">
              <w:rPr>
                <w:sz w:val="22"/>
                <w:szCs w:val="22"/>
              </w:rPr>
              <w:t>/</w:t>
            </w:r>
            <w:proofErr w:type="spellStart"/>
            <w:r w:rsidRPr="00965E78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965E78">
              <w:rPr>
                <w:sz w:val="22"/>
                <w:szCs w:val="22"/>
              </w:rPr>
              <w:t xml:space="preserve">193 - 1 шт., Проектор цифровой </w:t>
            </w:r>
            <w:r w:rsidRPr="00965E78">
              <w:rPr>
                <w:sz w:val="22"/>
                <w:szCs w:val="22"/>
                <w:lang w:val="en-US"/>
              </w:rPr>
              <w:t>Acer</w:t>
            </w:r>
            <w:r w:rsidRPr="00965E78">
              <w:rPr>
                <w:sz w:val="22"/>
                <w:szCs w:val="22"/>
              </w:rPr>
              <w:t xml:space="preserve"> </w:t>
            </w:r>
            <w:r w:rsidRPr="00965E78">
              <w:rPr>
                <w:sz w:val="22"/>
                <w:szCs w:val="22"/>
                <w:lang w:val="en-US"/>
              </w:rPr>
              <w:t>X</w:t>
            </w:r>
            <w:r w:rsidRPr="00965E78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965E78">
              <w:rPr>
                <w:sz w:val="22"/>
                <w:szCs w:val="22"/>
                <w:lang w:val="en-US"/>
              </w:rPr>
              <w:t>JBL</w:t>
            </w:r>
            <w:r w:rsidRPr="00965E78">
              <w:rPr>
                <w:sz w:val="22"/>
                <w:szCs w:val="22"/>
              </w:rPr>
              <w:t xml:space="preserve"> </w:t>
            </w:r>
            <w:r w:rsidRPr="00965E78">
              <w:rPr>
                <w:sz w:val="22"/>
                <w:szCs w:val="22"/>
                <w:lang w:val="en-US"/>
              </w:rPr>
              <w:t>CONTROL</w:t>
            </w:r>
            <w:r w:rsidRPr="00965E78">
              <w:rPr>
                <w:sz w:val="22"/>
                <w:szCs w:val="22"/>
              </w:rPr>
              <w:t xml:space="preserve"> 25 </w:t>
            </w:r>
            <w:r w:rsidRPr="00965E78">
              <w:rPr>
                <w:sz w:val="22"/>
                <w:szCs w:val="22"/>
                <w:lang w:val="en-US"/>
              </w:rPr>
              <w:t>WH</w:t>
            </w:r>
            <w:r w:rsidRPr="00965E78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65E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5E7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965E78">
              <w:rPr>
                <w:sz w:val="22"/>
                <w:szCs w:val="22"/>
              </w:rPr>
              <w:t>Красноармейская</w:t>
            </w:r>
            <w:proofErr w:type="gramEnd"/>
            <w:r w:rsidRPr="00965E7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965E7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65E78" w:rsidTr="008416EB">
        <w:tc>
          <w:tcPr>
            <w:tcW w:w="7797" w:type="dxa"/>
            <w:shd w:val="clear" w:color="auto" w:fill="auto"/>
          </w:tcPr>
          <w:p w:rsidR="002C735C" w:rsidRPr="00965E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5E78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65E78">
              <w:rPr>
                <w:sz w:val="22"/>
                <w:szCs w:val="22"/>
              </w:rPr>
              <w:t>комплексом</w:t>
            </w:r>
            <w:proofErr w:type="gramStart"/>
            <w:r w:rsidRPr="00965E78">
              <w:rPr>
                <w:sz w:val="22"/>
                <w:szCs w:val="22"/>
              </w:rPr>
              <w:t>.С</w:t>
            </w:r>
            <w:proofErr w:type="gramEnd"/>
            <w:r w:rsidRPr="00965E78">
              <w:rPr>
                <w:sz w:val="22"/>
                <w:szCs w:val="22"/>
              </w:rPr>
              <w:t>пециализированная</w:t>
            </w:r>
            <w:proofErr w:type="spellEnd"/>
            <w:r w:rsidRPr="00965E78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965E78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965E78">
              <w:rPr>
                <w:sz w:val="22"/>
                <w:szCs w:val="22"/>
                <w:lang w:val="en-US"/>
              </w:rPr>
              <w:t>Intel</w:t>
            </w:r>
            <w:r w:rsidRPr="00965E78">
              <w:rPr>
                <w:sz w:val="22"/>
                <w:szCs w:val="22"/>
              </w:rPr>
              <w:t xml:space="preserve"> </w:t>
            </w:r>
            <w:proofErr w:type="spellStart"/>
            <w:r w:rsidRPr="00965E7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65E78">
              <w:rPr>
                <w:sz w:val="22"/>
                <w:szCs w:val="22"/>
              </w:rPr>
              <w:t>3 2100 3.3/4</w:t>
            </w:r>
            <w:r w:rsidRPr="00965E78">
              <w:rPr>
                <w:sz w:val="22"/>
                <w:szCs w:val="22"/>
                <w:lang w:val="en-US"/>
              </w:rPr>
              <w:t>Gb</w:t>
            </w:r>
            <w:r w:rsidRPr="00965E78">
              <w:rPr>
                <w:sz w:val="22"/>
                <w:szCs w:val="22"/>
              </w:rPr>
              <w:t>/500</w:t>
            </w:r>
            <w:r w:rsidRPr="00965E78">
              <w:rPr>
                <w:sz w:val="22"/>
                <w:szCs w:val="22"/>
                <w:lang w:val="en-US"/>
              </w:rPr>
              <w:t>Gb</w:t>
            </w:r>
            <w:r w:rsidRPr="00965E78">
              <w:rPr>
                <w:sz w:val="22"/>
                <w:szCs w:val="22"/>
              </w:rPr>
              <w:t>/</w:t>
            </w:r>
            <w:proofErr w:type="spellStart"/>
            <w:r w:rsidRPr="00965E78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965E78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965E78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65E78">
              <w:rPr>
                <w:sz w:val="22"/>
                <w:szCs w:val="22"/>
              </w:rPr>
              <w:t xml:space="preserve"> </w:t>
            </w:r>
            <w:r w:rsidRPr="00965E78">
              <w:rPr>
                <w:sz w:val="22"/>
                <w:szCs w:val="22"/>
                <w:lang w:val="en-US"/>
              </w:rPr>
              <w:t>x</w:t>
            </w:r>
            <w:r w:rsidRPr="00965E78">
              <w:rPr>
                <w:sz w:val="22"/>
                <w:szCs w:val="22"/>
              </w:rPr>
              <w:t xml:space="preserve"> 400 - 1 шт., Мультимедийный проектор </w:t>
            </w:r>
            <w:r w:rsidRPr="00965E78">
              <w:rPr>
                <w:sz w:val="22"/>
                <w:szCs w:val="22"/>
                <w:lang w:val="en-US"/>
              </w:rPr>
              <w:t>NEC</w:t>
            </w:r>
            <w:r w:rsidRPr="00965E78">
              <w:rPr>
                <w:sz w:val="22"/>
                <w:szCs w:val="22"/>
              </w:rPr>
              <w:t xml:space="preserve"> </w:t>
            </w:r>
            <w:r w:rsidRPr="00965E78">
              <w:rPr>
                <w:sz w:val="22"/>
                <w:szCs w:val="22"/>
                <w:lang w:val="en-US"/>
              </w:rPr>
              <w:t>ME</w:t>
            </w:r>
            <w:r w:rsidRPr="00965E78">
              <w:rPr>
                <w:sz w:val="22"/>
                <w:szCs w:val="22"/>
              </w:rPr>
              <w:t>402</w:t>
            </w:r>
            <w:r w:rsidRPr="00965E78">
              <w:rPr>
                <w:sz w:val="22"/>
                <w:szCs w:val="22"/>
                <w:lang w:val="en-US"/>
              </w:rPr>
              <w:t>X</w:t>
            </w:r>
            <w:r w:rsidRPr="00965E78">
              <w:rPr>
                <w:sz w:val="22"/>
                <w:szCs w:val="22"/>
              </w:rPr>
              <w:t xml:space="preserve"> - 1 шт., Звуковые колонки </w:t>
            </w:r>
            <w:r w:rsidRPr="00965E78">
              <w:rPr>
                <w:sz w:val="22"/>
                <w:szCs w:val="22"/>
                <w:lang w:val="en-US"/>
              </w:rPr>
              <w:t>JBL</w:t>
            </w:r>
            <w:r w:rsidRPr="00965E78">
              <w:rPr>
                <w:sz w:val="22"/>
                <w:szCs w:val="22"/>
              </w:rPr>
              <w:t xml:space="preserve"> 25 - 2 шт., Экран с электропривод,</w:t>
            </w:r>
            <w:r w:rsidRPr="00965E78">
              <w:rPr>
                <w:sz w:val="22"/>
                <w:szCs w:val="22"/>
                <w:lang w:val="en-US"/>
              </w:rPr>
              <w:t>DRAPER</w:t>
            </w:r>
            <w:r w:rsidRPr="00965E78">
              <w:rPr>
                <w:sz w:val="22"/>
                <w:szCs w:val="22"/>
              </w:rPr>
              <w:t xml:space="preserve"> 96 160х210 - 1 шт.  Наборы демонстрационного оборудования и</w:t>
            </w:r>
            <w:proofErr w:type="gramEnd"/>
            <w:r w:rsidRPr="00965E78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65E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5E7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965E78">
              <w:rPr>
                <w:sz w:val="22"/>
                <w:szCs w:val="22"/>
              </w:rPr>
              <w:t>Красноармейская</w:t>
            </w:r>
            <w:proofErr w:type="gramEnd"/>
            <w:r w:rsidRPr="00965E7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965E78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965E78" w:rsidTr="008416EB">
        <w:tc>
          <w:tcPr>
            <w:tcW w:w="7797" w:type="dxa"/>
            <w:shd w:val="clear" w:color="auto" w:fill="auto"/>
          </w:tcPr>
          <w:p w:rsidR="002C735C" w:rsidRPr="00965E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5E78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65E78">
              <w:rPr>
                <w:sz w:val="22"/>
                <w:szCs w:val="22"/>
              </w:rPr>
              <w:t>комплексом</w:t>
            </w:r>
            <w:proofErr w:type="gramStart"/>
            <w:r w:rsidRPr="00965E78">
              <w:rPr>
                <w:sz w:val="22"/>
                <w:szCs w:val="22"/>
              </w:rPr>
              <w:t>.С</w:t>
            </w:r>
            <w:proofErr w:type="gramEnd"/>
            <w:r w:rsidRPr="00965E78">
              <w:rPr>
                <w:sz w:val="22"/>
                <w:szCs w:val="22"/>
              </w:rPr>
              <w:t>пециализированная</w:t>
            </w:r>
            <w:proofErr w:type="spellEnd"/>
            <w:r w:rsidRPr="00965E78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965E78">
              <w:rPr>
                <w:sz w:val="22"/>
                <w:szCs w:val="22"/>
              </w:rPr>
              <w:t>.К</w:t>
            </w:r>
            <w:proofErr w:type="gramEnd"/>
            <w:r w:rsidRPr="00965E78">
              <w:rPr>
                <w:sz w:val="22"/>
                <w:szCs w:val="22"/>
              </w:rPr>
              <w:t xml:space="preserve">омпьютер </w:t>
            </w:r>
            <w:r w:rsidRPr="00965E78">
              <w:rPr>
                <w:sz w:val="22"/>
                <w:szCs w:val="22"/>
                <w:lang w:val="en-US"/>
              </w:rPr>
              <w:t>I</w:t>
            </w:r>
            <w:r w:rsidRPr="00965E78">
              <w:rPr>
                <w:sz w:val="22"/>
                <w:szCs w:val="22"/>
              </w:rPr>
              <w:t>5-7400/8</w:t>
            </w:r>
            <w:r w:rsidRPr="00965E78">
              <w:rPr>
                <w:sz w:val="22"/>
                <w:szCs w:val="22"/>
                <w:lang w:val="en-US"/>
              </w:rPr>
              <w:t>Gb</w:t>
            </w:r>
            <w:r w:rsidRPr="00965E78">
              <w:rPr>
                <w:sz w:val="22"/>
                <w:szCs w:val="22"/>
              </w:rPr>
              <w:t>/1</w:t>
            </w:r>
            <w:r w:rsidRPr="00965E78">
              <w:rPr>
                <w:sz w:val="22"/>
                <w:szCs w:val="22"/>
                <w:lang w:val="en-US"/>
              </w:rPr>
              <w:t>Tb</w:t>
            </w:r>
            <w:r w:rsidRPr="00965E78">
              <w:rPr>
                <w:sz w:val="22"/>
                <w:szCs w:val="22"/>
              </w:rPr>
              <w:t xml:space="preserve">/ </w:t>
            </w:r>
            <w:r w:rsidRPr="00965E78">
              <w:rPr>
                <w:sz w:val="22"/>
                <w:szCs w:val="22"/>
                <w:lang w:val="en-US"/>
              </w:rPr>
              <w:t>DELL</w:t>
            </w:r>
            <w:r w:rsidRPr="00965E78">
              <w:rPr>
                <w:sz w:val="22"/>
                <w:szCs w:val="22"/>
              </w:rPr>
              <w:t xml:space="preserve"> </w:t>
            </w:r>
            <w:r w:rsidRPr="00965E78">
              <w:rPr>
                <w:sz w:val="22"/>
                <w:szCs w:val="22"/>
                <w:lang w:val="en-US"/>
              </w:rPr>
              <w:t>S</w:t>
            </w:r>
            <w:r w:rsidRPr="00965E78">
              <w:rPr>
                <w:sz w:val="22"/>
                <w:szCs w:val="22"/>
              </w:rPr>
              <w:t>2218</w:t>
            </w:r>
            <w:r w:rsidRPr="00965E78">
              <w:rPr>
                <w:sz w:val="22"/>
                <w:szCs w:val="22"/>
                <w:lang w:val="en-US"/>
              </w:rPr>
              <w:t>H</w:t>
            </w:r>
            <w:r w:rsidRPr="00965E78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965E7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65E78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965E78">
              <w:rPr>
                <w:sz w:val="22"/>
                <w:szCs w:val="22"/>
              </w:rPr>
              <w:t>Красноармейская</w:t>
            </w:r>
            <w:proofErr w:type="gramEnd"/>
            <w:r w:rsidRPr="00965E78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965E78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65E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5E78">
              <w:rPr>
                <w:sz w:val="23"/>
                <w:szCs w:val="23"/>
              </w:rPr>
              <w:t>Подходы к определению качества и особенности качества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965E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5E78">
              <w:rPr>
                <w:sz w:val="23"/>
                <w:szCs w:val="23"/>
              </w:rPr>
              <w:t>Качество как составляющий элемент конкурентоспособности.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65E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5E78">
              <w:rPr>
                <w:sz w:val="23"/>
                <w:szCs w:val="23"/>
              </w:rPr>
              <w:t>Исторические аспекты управления качеством. Эволюция управления качеством.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Донабедиана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Грёнроса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Кано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Модель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разрывов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качества.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965E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5E78">
              <w:rPr>
                <w:sz w:val="23"/>
                <w:szCs w:val="23"/>
              </w:rPr>
              <w:t>Квалиметрия: понятие, виды, объекты, методы и средства.  Факторы, влияющие на измерение качества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65E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5E78">
              <w:rPr>
                <w:sz w:val="23"/>
                <w:szCs w:val="23"/>
              </w:rPr>
              <w:t>Особенности методов оценки качества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65E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5E78">
              <w:rPr>
                <w:sz w:val="23"/>
                <w:szCs w:val="23"/>
              </w:rPr>
              <w:t>Объективные методы оценки качества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65E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5E78">
              <w:rPr>
                <w:sz w:val="23"/>
                <w:szCs w:val="23"/>
              </w:rPr>
              <w:t xml:space="preserve">Субъективные методы: </w:t>
            </w:r>
            <w:proofErr w:type="spellStart"/>
            <w:r w:rsidRPr="00965E78">
              <w:rPr>
                <w:sz w:val="23"/>
                <w:szCs w:val="23"/>
              </w:rPr>
              <w:t>критериальный</w:t>
            </w:r>
            <w:proofErr w:type="spellEnd"/>
            <w:r w:rsidRPr="00965E78">
              <w:rPr>
                <w:sz w:val="23"/>
                <w:szCs w:val="23"/>
              </w:rPr>
              <w:t xml:space="preserve"> и проблемный подход.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965E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5E78">
              <w:rPr>
                <w:sz w:val="23"/>
                <w:szCs w:val="23"/>
              </w:rPr>
              <w:t>Комбинированные методы оценки качества услуг.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965E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5E78">
              <w:rPr>
                <w:sz w:val="23"/>
                <w:szCs w:val="23"/>
              </w:rPr>
              <w:t>Методы оценки качества услуг с позиций производителя.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65E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5E78">
              <w:rPr>
                <w:sz w:val="23"/>
                <w:szCs w:val="23"/>
              </w:rPr>
              <w:t xml:space="preserve">Структура, особенности и технология эффективного оказания </w:t>
            </w:r>
            <w:proofErr w:type="spellStart"/>
            <w:r w:rsidRPr="00965E78">
              <w:rPr>
                <w:sz w:val="23"/>
                <w:szCs w:val="23"/>
              </w:rPr>
              <w:t>конгрессно</w:t>
            </w:r>
            <w:proofErr w:type="spellEnd"/>
            <w:r w:rsidRPr="00965E78">
              <w:rPr>
                <w:sz w:val="23"/>
                <w:szCs w:val="23"/>
              </w:rPr>
              <w:t>-выставочных услуг в соответствии с установленными условиями как объект оценки качества.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965E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5E78">
              <w:rPr>
                <w:sz w:val="23"/>
                <w:szCs w:val="23"/>
              </w:rPr>
              <w:t>Управление качеством: понятие, функции и методы.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65E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5E78">
              <w:rPr>
                <w:sz w:val="23"/>
                <w:szCs w:val="23"/>
              </w:rPr>
              <w:t>Системный подход к управлению качеством.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965E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5E78">
              <w:rPr>
                <w:sz w:val="23"/>
                <w:szCs w:val="23"/>
              </w:rPr>
              <w:t>Стратегическое и тактическое управление качеством в индустрии событий.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Планирование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качества </w:t>
            </w:r>
            <w:proofErr w:type="spellStart"/>
            <w:r>
              <w:rPr>
                <w:sz w:val="23"/>
                <w:szCs w:val="23"/>
                <w:lang w:val="en-US"/>
              </w:rPr>
              <w:t>услуги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65E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5E78">
              <w:rPr>
                <w:sz w:val="23"/>
                <w:szCs w:val="23"/>
              </w:rPr>
              <w:t>Оперативное управление в области качества.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65E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5E78">
              <w:rPr>
                <w:sz w:val="23"/>
                <w:szCs w:val="23"/>
              </w:rPr>
              <w:t>Контроль качества. Обеспечение качества. Улучшение качества.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65E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5E78">
              <w:rPr>
                <w:sz w:val="23"/>
                <w:szCs w:val="23"/>
              </w:rPr>
              <w:t>Инструменты и технологии управления качеством.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65E78">
              <w:rPr>
                <w:sz w:val="23"/>
                <w:szCs w:val="23"/>
              </w:rPr>
              <w:t xml:space="preserve">Развертывание функции качества (структурирование функции качества, </w:t>
            </w:r>
            <w:r>
              <w:rPr>
                <w:sz w:val="23"/>
                <w:szCs w:val="23"/>
                <w:lang w:val="en-US"/>
              </w:rPr>
              <w:t>Quality</w:t>
            </w:r>
            <w:r w:rsidRPr="00965E7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Function</w:t>
            </w:r>
            <w:r w:rsidRPr="00965E7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Deployment</w:t>
            </w:r>
            <w:r w:rsidRPr="00965E78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QFD</w:t>
            </w:r>
            <w:r w:rsidRPr="00965E78">
              <w:rPr>
                <w:sz w:val="23"/>
                <w:szCs w:val="23"/>
              </w:rPr>
              <w:t xml:space="preserve">). </w:t>
            </w:r>
            <w:proofErr w:type="spellStart"/>
            <w:r w:rsidRPr="00965E78">
              <w:rPr>
                <w:sz w:val="23"/>
                <w:szCs w:val="23"/>
              </w:rPr>
              <w:t>Бенчмаркинг</w:t>
            </w:r>
            <w:proofErr w:type="spellEnd"/>
            <w:r w:rsidRPr="00965E78">
              <w:rPr>
                <w:sz w:val="23"/>
                <w:szCs w:val="23"/>
              </w:rPr>
              <w:t>. Анализ видов и последствий отказов (</w:t>
            </w:r>
            <w:r>
              <w:rPr>
                <w:sz w:val="23"/>
                <w:szCs w:val="23"/>
                <w:lang w:val="en-US"/>
              </w:rPr>
              <w:t>Failure</w:t>
            </w:r>
            <w:r w:rsidRPr="00965E7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Mode</w:t>
            </w:r>
            <w:r w:rsidRPr="00965E7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and</w:t>
            </w:r>
            <w:r w:rsidRPr="00965E7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Effects</w:t>
            </w:r>
            <w:r w:rsidRPr="00965E78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  <w:lang w:val="en-US"/>
              </w:rPr>
              <w:t>Analysis</w:t>
            </w:r>
            <w:r w:rsidRPr="00965E78">
              <w:rPr>
                <w:sz w:val="23"/>
                <w:szCs w:val="23"/>
              </w:rPr>
              <w:t xml:space="preserve">, </w:t>
            </w:r>
            <w:r>
              <w:rPr>
                <w:sz w:val="23"/>
                <w:szCs w:val="23"/>
                <w:lang w:val="en-US"/>
              </w:rPr>
              <w:t>FMEA</w:t>
            </w:r>
            <w:r w:rsidRPr="00965E78">
              <w:rPr>
                <w:sz w:val="23"/>
                <w:szCs w:val="23"/>
              </w:rPr>
              <w:t xml:space="preserve">). </w:t>
            </w:r>
            <w:proofErr w:type="spellStart"/>
            <w:r>
              <w:rPr>
                <w:sz w:val="23"/>
                <w:szCs w:val="23"/>
                <w:lang w:val="en-US"/>
              </w:rPr>
              <w:t>Пока-йоке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(</w:t>
            </w:r>
            <w:proofErr w:type="spellStart"/>
            <w:r>
              <w:rPr>
                <w:sz w:val="23"/>
                <w:szCs w:val="23"/>
                <w:lang w:val="en-US"/>
              </w:rPr>
              <w:t>poka</w:t>
            </w:r>
            <w:proofErr w:type="spellEnd"/>
            <w:r>
              <w:rPr>
                <w:sz w:val="23"/>
                <w:szCs w:val="23"/>
                <w:lang w:val="en-US"/>
              </w:rPr>
              <w:t>-yoke).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965E78">
              <w:rPr>
                <w:sz w:val="23"/>
                <w:szCs w:val="23"/>
              </w:rPr>
              <w:t xml:space="preserve">Семь инструментов управления качеством. Сбалансированная система показателей.  </w:t>
            </w:r>
            <w:r>
              <w:rPr>
                <w:sz w:val="23"/>
                <w:szCs w:val="23"/>
                <w:lang w:val="en-US"/>
              </w:rPr>
              <w:t>CALS-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965E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5E78">
              <w:rPr>
                <w:sz w:val="23"/>
                <w:szCs w:val="23"/>
              </w:rPr>
              <w:t>Концепция «Шесть сигм». Статистические методы контроля качества.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965E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5E78">
              <w:rPr>
                <w:sz w:val="23"/>
                <w:szCs w:val="23"/>
              </w:rPr>
              <w:t xml:space="preserve">Формирование системы менеджмента качества на </w:t>
            </w:r>
            <w:proofErr w:type="gramStart"/>
            <w:r w:rsidRPr="00965E78">
              <w:rPr>
                <w:sz w:val="23"/>
                <w:szCs w:val="23"/>
              </w:rPr>
              <w:t>предприятии</w:t>
            </w:r>
            <w:proofErr w:type="gramEnd"/>
            <w:r w:rsidRPr="00965E78">
              <w:rPr>
                <w:sz w:val="23"/>
                <w:szCs w:val="23"/>
              </w:rPr>
              <w:t xml:space="preserve"> индустрии событий.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65E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5E78">
              <w:rPr>
                <w:sz w:val="23"/>
                <w:szCs w:val="23"/>
              </w:rPr>
              <w:t xml:space="preserve">Реализация </w:t>
            </w:r>
            <w:r>
              <w:rPr>
                <w:sz w:val="23"/>
                <w:szCs w:val="23"/>
                <w:lang w:val="en-US"/>
              </w:rPr>
              <w:t>TQM</w:t>
            </w:r>
            <w:r w:rsidRPr="00965E78">
              <w:rPr>
                <w:sz w:val="23"/>
                <w:szCs w:val="23"/>
              </w:rPr>
              <w:t xml:space="preserve"> в индустрии событий.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965E7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5E78">
              <w:rPr>
                <w:sz w:val="23"/>
                <w:szCs w:val="23"/>
              </w:rPr>
              <w:t>Постановка целей по качеству в индустрии событий, контроль их достижения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965E7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65E7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965E78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65E78" w:rsidTr="00801458">
        <w:tc>
          <w:tcPr>
            <w:tcW w:w="2336" w:type="dxa"/>
          </w:tcPr>
          <w:p w:rsidR="005D65A5" w:rsidRPr="00965E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5E7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965E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5E7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965E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5E7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965E7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5E7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65E78" w:rsidTr="00801458">
        <w:tc>
          <w:tcPr>
            <w:tcW w:w="2336" w:type="dxa"/>
          </w:tcPr>
          <w:p w:rsidR="005D65A5" w:rsidRPr="00965E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5E7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965E7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65E78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965E7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65E78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965E78" w:rsidRDefault="007478E0" w:rsidP="00801458">
            <w:pPr>
              <w:rPr>
                <w:rFonts w:ascii="Times New Roman" w:hAnsi="Times New Roman" w:cs="Times New Roman"/>
              </w:rPr>
            </w:pPr>
            <w:r w:rsidRPr="00965E78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965E78" w:rsidTr="00801458">
        <w:tc>
          <w:tcPr>
            <w:tcW w:w="2336" w:type="dxa"/>
          </w:tcPr>
          <w:p w:rsidR="005D65A5" w:rsidRPr="00965E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5E7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965E7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65E78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965E78" w:rsidRDefault="007478E0" w:rsidP="00801458">
            <w:pPr>
              <w:rPr>
                <w:rFonts w:ascii="Times New Roman" w:hAnsi="Times New Roman" w:cs="Times New Roman"/>
              </w:rPr>
            </w:pPr>
            <w:r w:rsidRPr="00965E7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65E78" w:rsidRDefault="007478E0" w:rsidP="00801458">
            <w:pPr>
              <w:rPr>
                <w:rFonts w:ascii="Times New Roman" w:hAnsi="Times New Roman" w:cs="Times New Roman"/>
              </w:rPr>
            </w:pPr>
            <w:r w:rsidRPr="00965E78">
              <w:rPr>
                <w:rFonts w:ascii="Times New Roman" w:hAnsi="Times New Roman" w:cs="Times New Roman"/>
                <w:lang w:val="en-US"/>
              </w:rPr>
              <w:t>5,6</w:t>
            </w:r>
          </w:p>
        </w:tc>
      </w:tr>
      <w:tr w:rsidR="005D65A5" w:rsidRPr="00965E78" w:rsidTr="00801458">
        <w:tc>
          <w:tcPr>
            <w:tcW w:w="2336" w:type="dxa"/>
          </w:tcPr>
          <w:p w:rsidR="005D65A5" w:rsidRPr="00965E7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65E7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965E7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965E7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965E7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65E7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965E78" w:rsidRDefault="007478E0" w:rsidP="00801458">
            <w:pPr>
              <w:rPr>
                <w:rFonts w:ascii="Times New Roman" w:hAnsi="Times New Roman" w:cs="Times New Roman"/>
              </w:rPr>
            </w:pPr>
            <w:r w:rsidRPr="00965E7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965E78" w:rsidRDefault="007478E0" w:rsidP="00801458">
            <w:pPr>
              <w:rPr>
                <w:rFonts w:ascii="Times New Roman" w:hAnsi="Times New Roman" w:cs="Times New Roman"/>
              </w:rPr>
            </w:pPr>
            <w:r w:rsidRPr="00965E7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965E78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965E78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965E78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65E78" w:rsidTr="00965E78">
        <w:tc>
          <w:tcPr>
            <w:tcW w:w="562" w:type="dxa"/>
          </w:tcPr>
          <w:p w:rsidR="00965E78" w:rsidRDefault="00965E7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965E78" w:rsidRDefault="00965E7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965E78" w:rsidRPr="00965E78" w:rsidRDefault="00965E78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965E78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965E7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965E78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965E78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65E78" w:rsidTr="00801458">
        <w:tc>
          <w:tcPr>
            <w:tcW w:w="2500" w:type="pct"/>
          </w:tcPr>
          <w:p w:rsidR="00B8237E" w:rsidRPr="00965E7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5E7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965E7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65E7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65E78" w:rsidTr="00801458">
        <w:tc>
          <w:tcPr>
            <w:tcW w:w="2500" w:type="pct"/>
          </w:tcPr>
          <w:p w:rsidR="00B8237E" w:rsidRPr="00965E78" w:rsidRDefault="00B8237E" w:rsidP="00801458">
            <w:pPr>
              <w:rPr>
                <w:rFonts w:ascii="Times New Roman" w:hAnsi="Times New Roman" w:cs="Times New Roman"/>
              </w:rPr>
            </w:pPr>
            <w:r w:rsidRPr="00965E7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965E78" w:rsidRDefault="005C548A" w:rsidP="00801458">
            <w:pPr>
              <w:rPr>
                <w:rFonts w:ascii="Times New Roman" w:hAnsi="Times New Roman" w:cs="Times New Roman"/>
              </w:rPr>
            </w:pPr>
            <w:r w:rsidRPr="00965E7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965E78" w:rsidTr="00801458">
        <w:tc>
          <w:tcPr>
            <w:tcW w:w="2500" w:type="pct"/>
          </w:tcPr>
          <w:p w:rsidR="00B8237E" w:rsidRPr="00965E7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65E78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965E7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65E78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965E78" w:rsidRDefault="005C548A" w:rsidP="00801458">
            <w:pPr>
              <w:rPr>
                <w:rFonts w:ascii="Times New Roman" w:hAnsi="Times New Roman" w:cs="Times New Roman"/>
              </w:rPr>
            </w:pPr>
            <w:r w:rsidRPr="00965E78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965E78" w:rsidTr="00801458">
        <w:tc>
          <w:tcPr>
            <w:tcW w:w="2500" w:type="pct"/>
          </w:tcPr>
          <w:p w:rsidR="00B8237E" w:rsidRPr="00965E7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65E78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965E7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965E78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965E78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965E78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965E78" w:rsidRDefault="005C548A" w:rsidP="00801458">
            <w:pPr>
              <w:rPr>
                <w:rFonts w:ascii="Times New Roman" w:hAnsi="Times New Roman" w:cs="Times New Roman"/>
              </w:rPr>
            </w:pPr>
            <w:r w:rsidRPr="00965E78">
              <w:rPr>
                <w:rFonts w:ascii="Times New Roman" w:hAnsi="Times New Roman" w:cs="Times New Roman"/>
                <w:lang w:val="en-US"/>
              </w:rPr>
              <w:t>3,5</w:t>
            </w:r>
          </w:p>
        </w:tc>
      </w:tr>
      <w:tr w:rsidR="00B8237E" w:rsidRPr="00965E78" w:rsidTr="00801458">
        <w:tc>
          <w:tcPr>
            <w:tcW w:w="2500" w:type="pct"/>
          </w:tcPr>
          <w:p w:rsidR="00B8237E" w:rsidRPr="00965E7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965E78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965E78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965E78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965E78" w:rsidRDefault="005C548A" w:rsidP="00801458">
            <w:pPr>
              <w:rPr>
                <w:rFonts w:ascii="Times New Roman" w:hAnsi="Times New Roman" w:cs="Times New Roman"/>
              </w:rPr>
            </w:pPr>
            <w:r w:rsidRPr="00965E78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965E78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965E78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965E78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965E78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965E7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965E7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E7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965E7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965E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965E7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65E7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965E7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965E7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65E7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965E78">
        <w:rPr>
          <w:rFonts w:ascii="Times New Roman" w:hAnsi="Times New Roman" w:cs="Times New Roman"/>
          <w:color w:val="000000"/>
          <w:sz w:val="28"/>
          <w:szCs w:val="28"/>
        </w:rPr>
        <w:t>сформиров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E6C" w:rsidRDefault="00D07E6C" w:rsidP="00315CA6">
      <w:pPr>
        <w:spacing w:after="0" w:line="240" w:lineRule="auto"/>
      </w:pPr>
      <w:r>
        <w:separator/>
      </w:r>
    </w:p>
  </w:endnote>
  <w:endnote w:type="continuationSeparator" w:id="0">
    <w:p w:rsidR="00D07E6C" w:rsidRDefault="00D07E6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709D9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8F28D6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E6C" w:rsidRDefault="00D07E6C" w:rsidP="00315CA6">
      <w:pPr>
        <w:spacing w:after="0" w:line="240" w:lineRule="auto"/>
      </w:pPr>
      <w:r>
        <w:separator/>
      </w:r>
    </w:p>
  </w:footnote>
  <w:footnote w:type="continuationSeparator" w:id="0">
    <w:p w:rsidR="00D07E6C" w:rsidRDefault="00D07E6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709D9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A5E39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5C5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F28D6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5E78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07E6C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0582F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9D9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5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upravlenie-kachestvom-510700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urait.ru/viewer/upravlenie-kachestvom-uslug-512424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upravlenie-kachestvom-vseobschiy-podhod-531776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upravlenie-kachestvom-510566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28141F3-EDAE-4F12-B2B4-E9878AD02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13</Pages>
  <Words>3737</Words>
  <Characters>21301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