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грамотность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90D1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90D1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C7D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7D0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C7D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7D0E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7C7D0E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90D1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90D19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D4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3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3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4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5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5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5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6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6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7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8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10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10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10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10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10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10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D75436" w:rsidRDefault="00F90D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D44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D44F8">
              <w:rPr>
                <w:noProof/>
                <w:webHidden/>
              </w:rPr>
            </w:r>
            <w:r w:rsidR="007D44F8">
              <w:rPr>
                <w:noProof/>
                <w:webHidden/>
              </w:rPr>
              <w:fldChar w:fldCharType="separate"/>
            </w:r>
            <w:r w:rsidR="00A3670B">
              <w:rPr>
                <w:noProof/>
                <w:webHidden/>
              </w:rPr>
              <w:t>10</w:t>
            </w:r>
            <w:r w:rsidR="007D44F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D44F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и навыков в области управления личными финансами.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Финансовая грамотность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7C7D0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7D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7D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C7D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7D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C7D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7C7D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7D0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7D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7D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7D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7D0E">
              <w:rPr>
                <w:rFonts w:ascii="Times New Roman" w:hAnsi="Times New Roman" w:cs="Times New Roman"/>
              </w:rPr>
              <w:t>формы и методы личного экономического и финансового планирования; инструменты личного экономического и финансового планирования; зарубежный и российской опыт личного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личного экономического и финансового планирования; понятие и виды текущих и долгосрочных финансовых целей при осуществлении личного планирования.</w:t>
            </w:r>
            <w:r w:rsidRPr="007C7D0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C7D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7D0E">
              <w:rPr>
                <w:rFonts w:ascii="Times New Roman" w:hAnsi="Times New Roman" w:cs="Times New Roman"/>
              </w:rPr>
              <w:t>анализировать зарубежный и российский опыт личного экономического и финансового планирования; применять на практике лучшие отечественные и зарубежные методики личного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обосновывать и логически выстраивать выводы по результатам полученных расчетов.</w:t>
            </w:r>
            <w:r w:rsidRPr="007C7D0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C7D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7D0E">
              <w:rPr>
                <w:rFonts w:ascii="Times New Roman" w:hAnsi="Times New Roman" w:cs="Times New Roman"/>
              </w:rPr>
              <w:t xml:space="preserve">навыками сбора и обработки экономических и финансовых данных для осуществления личного планирования; методиками личного экономического и финансового планирования; навыками сравнительного анализа форм и методов личного экономического и финансового планирования; различными инструментами личного экономического и </w:t>
            </w:r>
            <w:r w:rsidR="00FD518F" w:rsidRPr="007C7D0E">
              <w:rPr>
                <w:rFonts w:ascii="Times New Roman" w:hAnsi="Times New Roman" w:cs="Times New Roman"/>
              </w:rPr>
              <w:lastRenderedPageBreak/>
              <w:t>финансового планирования в зависимости от поставленных финансовых целей; методиками целеполагания в финансовой сфере при осуществлении личного планирования.</w:t>
            </w:r>
            <w:r w:rsidRPr="007C7D0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C7D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Цель, задачи и механизм реализации Стратегии повышения финансовой грамотности и формирования финансовой культуры до 2030 года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финансовой грамотности и финансовой культуры. Навыки финансово грамотного человека. Цели и задачи повышения финансовой грамотности населения и финансовой культуры. Основные направления Стратегии повышения финансовой грамотности и формирования финансовой культуры до 2030 года. Роль информационных технологий в повышении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Личный бюджет и финансовое планирование на уровне домохозяйств.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личного (семейного) бюджета. Финансовая независимость и благополучие. Этапы и методы планирования семейного бюджета. Учет личных доходов и расходов. Анализ доходов и возможные направления их увеличения. Пути оптимизации расходов. Программные продукты, используемые при ведении семейного 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Финансовый рынок. Банковские продукты и услуги для граждан.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финансового рынка. Классификация банковских продуктов для граждан. Виды банковских вкладов и их особенности. Процентная ставка и её виды. Система страхования вкладов. Виды и свойства ценных бумаг. Инфраструктура фондового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Обязательное и добровольное страхование.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сущность страхования. Участники рынка страхования. Виды страхования. Личное страхование. Имущественное страхование. Обязательнее виды страхования в РФ. Обязательное пенсионное страхование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Налоги и налогообложение физических лиц.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Налоговая система РФ и виды налогов физических лиц. Налогообложение доходов физических лиц. Налог на имущество физических лиц. Налог на профессиональный доход. Личный кабинет налогоплательщика.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Бюджетная грамотность.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Бюджетная система и бюджетный процесс в РФ. Открытость бюджета. Понятие бюджетной </w:t>
            </w:r>
            <w:r w:rsidRPr="00352B6F">
              <w:rPr>
                <w:lang w:bidi="ru-RU"/>
              </w:rPr>
              <w:lastRenderedPageBreak/>
              <w:t>грамотности. Развитие инициативного бюджетирования в мире 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Персональная инвестиционная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инвестиционных стратегий. Понятие инвестиционного портфеля. Особенности рынков акций и облигаций. Паевые инвестиционное фонды. Негосударственные пенсионные фонды. Рынки обмена валюты (</w:t>
            </w:r>
            <w:proofErr w:type="spellStart"/>
            <w:r w:rsidRPr="00352B6F">
              <w:rPr>
                <w:lang w:bidi="ru-RU"/>
              </w:rPr>
              <w:t>форекс</w:t>
            </w:r>
            <w:proofErr w:type="spellEnd"/>
            <w:r w:rsidRPr="00352B6F">
              <w:rPr>
                <w:lang w:bidi="ru-RU"/>
              </w:rPr>
              <w:t>). Рынки драгоценных металлов.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Финансовое мошенничество и меры борьбы с ним.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Безопасное обращение с банковскими картами. Защита персональных данных. Мошенничество в финансово-кредитной сфере. Правовые основы противодействия мошенничеству. Финансовые пирамиды, их признаки, жизненный цикл финансовой пирамиды. Информационные технологии для противодействия финансовому мошенничеству.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7D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Финансы :</w:t>
            </w:r>
            <w:proofErr w:type="gram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, 2021. — 449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978-5-534-13894-8. — </w:t>
            </w:r>
            <w:proofErr w:type="gram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7D0E" w:rsidRDefault="00F90D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https://web2.urait.ru/viewer/finansy-467206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7D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Проекты повышения финансовой грамотности и развития инициативного бюджетирования: опыт России и зарубежных стран / </w:t>
            </w:r>
            <w:proofErr w:type="spell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Колл</w:t>
            </w:r>
            <w:proofErr w:type="spell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. авторов: Иванова Н.Г. и др. – СПб: изд-во </w:t>
            </w:r>
            <w:proofErr w:type="spell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, 2019. –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90D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81%D0%BE%D0%B2%D0%BE%D0%B9.pdf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90D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C7D0E" w:rsidTr="008416EB">
        <w:tc>
          <w:tcPr>
            <w:tcW w:w="7797" w:type="dxa"/>
            <w:shd w:val="clear" w:color="auto" w:fill="auto"/>
          </w:tcPr>
          <w:p w:rsidR="002C735C" w:rsidRPr="007C7D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7D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C7D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7D0E">
              <w:rPr>
                <w:b/>
                <w:sz w:val="22"/>
                <w:szCs w:val="22"/>
              </w:rPr>
              <w:t xml:space="preserve">Адрес (местоположение) </w:t>
            </w:r>
            <w:r w:rsidRPr="007C7D0E">
              <w:rPr>
                <w:b/>
                <w:sz w:val="22"/>
                <w:szCs w:val="22"/>
              </w:rPr>
              <w:lastRenderedPageBreak/>
              <w:t>учебных аудиторий</w:t>
            </w:r>
          </w:p>
        </w:tc>
      </w:tr>
      <w:tr w:rsidR="002C735C" w:rsidRPr="007C7D0E" w:rsidTr="008416EB">
        <w:tc>
          <w:tcPr>
            <w:tcW w:w="7797" w:type="dxa"/>
            <w:shd w:val="clear" w:color="auto" w:fill="auto"/>
          </w:tcPr>
          <w:p w:rsidR="002C735C" w:rsidRPr="007C7D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lastRenderedPageBreak/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7D0E">
              <w:rPr>
                <w:sz w:val="22"/>
                <w:szCs w:val="22"/>
              </w:rPr>
              <w:t xml:space="preserve">3-2100 2.4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>/4 4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/500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</w:t>
            </w:r>
            <w:r w:rsidRPr="007C7D0E">
              <w:rPr>
                <w:sz w:val="22"/>
                <w:szCs w:val="22"/>
                <w:lang w:val="en-US"/>
              </w:rPr>
              <w:t>Acer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V</w:t>
            </w:r>
            <w:r w:rsidRPr="007C7D0E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C7D0E">
              <w:rPr>
                <w:sz w:val="22"/>
                <w:szCs w:val="22"/>
              </w:rPr>
              <w:t xml:space="preserve"> - 1 шт., Мультимедиа проектор </w:t>
            </w:r>
            <w:r w:rsidRPr="007C7D0E">
              <w:rPr>
                <w:sz w:val="22"/>
                <w:szCs w:val="22"/>
                <w:lang w:val="en-US"/>
              </w:rPr>
              <w:t>Mitsubishi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WD</w:t>
            </w:r>
            <w:r w:rsidRPr="007C7D0E">
              <w:rPr>
                <w:sz w:val="22"/>
                <w:szCs w:val="22"/>
              </w:rPr>
              <w:t>620</w:t>
            </w:r>
            <w:r w:rsidRPr="007C7D0E">
              <w:rPr>
                <w:sz w:val="22"/>
                <w:szCs w:val="22"/>
                <w:lang w:val="en-US"/>
              </w:rPr>
              <w:t>U</w:t>
            </w:r>
            <w:r w:rsidRPr="007C7D0E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7D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C7D0E" w:rsidTr="008416EB">
        <w:tc>
          <w:tcPr>
            <w:tcW w:w="7797" w:type="dxa"/>
            <w:shd w:val="clear" w:color="auto" w:fill="auto"/>
          </w:tcPr>
          <w:p w:rsidR="002C735C" w:rsidRPr="007C7D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7C7D0E">
              <w:rPr>
                <w:sz w:val="22"/>
                <w:szCs w:val="22"/>
                <w:lang w:val="en-US"/>
              </w:rPr>
              <w:t>HP</w:t>
            </w:r>
            <w:r w:rsidRPr="007C7D0E">
              <w:rPr>
                <w:sz w:val="22"/>
                <w:szCs w:val="22"/>
              </w:rPr>
              <w:t xml:space="preserve"> 250 </w:t>
            </w:r>
            <w:r w:rsidRPr="007C7D0E">
              <w:rPr>
                <w:sz w:val="22"/>
                <w:szCs w:val="22"/>
                <w:lang w:val="en-US"/>
              </w:rPr>
              <w:t>G</w:t>
            </w:r>
            <w:r w:rsidRPr="007C7D0E">
              <w:rPr>
                <w:sz w:val="22"/>
                <w:szCs w:val="22"/>
              </w:rPr>
              <w:t>6 1</w:t>
            </w:r>
            <w:r w:rsidRPr="007C7D0E">
              <w:rPr>
                <w:sz w:val="22"/>
                <w:szCs w:val="22"/>
                <w:lang w:val="en-US"/>
              </w:rPr>
              <w:t>WY</w:t>
            </w:r>
            <w:r w:rsidRPr="007C7D0E">
              <w:rPr>
                <w:sz w:val="22"/>
                <w:szCs w:val="22"/>
              </w:rPr>
              <w:t>58</w:t>
            </w:r>
            <w:r w:rsidRPr="007C7D0E">
              <w:rPr>
                <w:sz w:val="22"/>
                <w:szCs w:val="22"/>
                <w:lang w:val="en-US"/>
              </w:rPr>
              <w:t>EA</w:t>
            </w:r>
            <w:r w:rsidRPr="007C7D0E">
              <w:rPr>
                <w:sz w:val="22"/>
                <w:szCs w:val="22"/>
              </w:rPr>
              <w:t xml:space="preserve">, Мультимедийный проектор </w:t>
            </w:r>
            <w:r w:rsidRPr="007C7D0E">
              <w:rPr>
                <w:sz w:val="22"/>
                <w:szCs w:val="22"/>
                <w:lang w:val="en-US"/>
              </w:rPr>
              <w:t>LG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PF</w:t>
            </w:r>
            <w:r w:rsidRPr="007C7D0E">
              <w:rPr>
                <w:sz w:val="22"/>
                <w:szCs w:val="22"/>
              </w:rPr>
              <w:t>1500</w:t>
            </w:r>
            <w:r w:rsidRPr="007C7D0E">
              <w:rPr>
                <w:sz w:val="22"/>
                <w:szCs w:val="22"/>
                <w:lang w:val="en-US"/>
              </w:rPr>
              <w:t>G</w:t>
            </w:r>
            <w:r w:rsidRPr="007C7D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7D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C7D0E" w:rsidTr="008416EB">
        <w:tc>
          <w:tcPr>
            <w:tcW w:w="7797" w:type="dxa"/>
            <w:shd w:val="clear" w:color="auto" w:fill="auto"/>
          </w:tcPr>
          <w:p w:rsidR="002C735C" w:rsidRPr="007C7D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7C7D0E">
              <w:rPr>
                <w:sz w:val="22"/>
                <w:szCs w:val="22"/>
                <w:lang w:val="en-US"/>
              </w:rPr>
              <w:t>Universal</w:t>
            </w:r>
            <w:r w:rsidRPr="007C7D0E">
              <w:rPr>
                <w:sz w:val="22"/>
                <w:szCs w:val="22"/>
              </w:rPr>
              <w:t xml:space="preserve"> №1 - 4 шт.,  Компьютер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7D0E">
              <w:rPr>
                <w:sz w:val="22"/>
                <w:szCs w:val="22"/>
              </w:rPr>
              <w:t xml:space="preserve">3-2100 2.4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>/4 4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/500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</w:t>
            </w:r>
            <w:r w:rsidRPr="007C7D0E">
              <w:rPr>
                <w:sz w:val="22"/>
                <w:szCs w:val="22"/>
                <w:lang w:val="en-US"/>
              </w:rPr>
              <w:t>Acer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V</w:t>
            </w:r>
            <w:r w:rsidRPr="007C7D0E">
              <w:rPr>
                <w:sz w:val="22"/>
                <w:szCs w:val="22"/>
              </w:rPr>
              <w:t xml:space="preserve">193 19" - 10 шт., Моноблок </w:t>
            </w:r>
            <w:r w:rsidRPr="007C7D0E">
              <w:rPr>
                <w:sz w:val="22"/>
                <w:szCs w:val="22"/>
                <w:lang w:val="en-US"/>
              </w:rPr>
              <w:t>AIO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IRU</w:t>
            </w:r>
            <w:r w:rsidRPr="007C7D0E">
              <w:rPr>
                <w:sz w:val="22"/>
                <w:szCs w:val="22"/>
              </w:rPr>
              <w:t xml:space="preserve"> 308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2.8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 xml:space="preserve">/4 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/1</w:t>
            </w:r>
            <w:r w:rsidRPr="007C7D0E">
              <w:rPr>
                <w:sz w:val="22"/>
                <w:szCs w:val="22"/>
                <w:lang w:val="en-US"/>
              </w:rPr>
              <w:t>Tb</w:t>
            </w:r>
            <w:r w:rsidRPr="007C7D0E">
              <w:rPr>
                <w:sz w:val="22"/>
                <w:szCs w:val="22"/>
              </w:rPr>
              <w:t xml:space="preserve"> - 1 шт., Сетевой коммутатор </w:t>
            </w:r>
            <w:r w:rsidRPr="007C7D0E">
              <w:rPr>
                <w:sz w:val="22"/>
                <w:szCs w:val="22"/>
                <w:lang w:val="en-US"/>
              </w:rPr>
              <w:t>Switch</w:t>
            </w:r>
            <w:r w:rsidRPr="007C7D0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7D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7D0E" w:rsidTr="007C7D0E">
        <w:tc>
          <w:tcPr>
            <w:tcW w:w="562" w:type="dxa"/>
          </w:tcPr>
          <w:p w:rsidR="007C7D0E" w:rsidRPr="00F90D19" w:rsidRDefault="007C7D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C7D0E" w:rsidRDefault="007C7D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C7D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7D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C7D0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7D0E" w:rsidTr="00801458">
        <w:tc>
          <w:tcPr>
            <w:tcW w:w="2336" w:type="dxa"/>
          </w:tcPr>
          <w:p w:rsidR="005D65A5" w:rsidRPr="007C7D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C7D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C7D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C7D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7D0E" w:rsidTr="00801458">
        <w:tc>
          <w:tcPr>
            <w:tcW w:w="2336" w:type="dxa"/>
          </w:tcPr>
          <w:p w:rsidR="005D65A5" w:rsidRPr="007C7D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C7D0E" w:rsidTr="00801458">
        <w:tc>
          <w:tcPr>
            <w:tcW w:w="2336" w:type="dxa"/>
          </w:tcPr>
          <w:p w:rsidR="005D65A5" w:rsidRPr="007C7D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C7D0E" w:rsidTr="00801458">
        <w:tc>
          <w:tcPr>
            <w:tcW w:w="2336" w:type="dxa"/>
          </w:tcPr>
          <w:p w:rsidR="005D65A5" w:rsidRPr="007C7D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C7D0E" w:rsidRDefault="007478E0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7C7D0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C7D0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7D0E" w:rsidTr="007C7D0E">
        <w:tc>
          <w:tcPr>
            <w:tcW w:w="562" w:type="dxa"/>
          </w:tcPr>
          <w:p w:rsidR="007C7D0E" w:rsidRDefault="007C7D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C7D0E" w:rsidRDefault="007C7D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C7D0E" w:rsidRPr="007C7D0E" w:rsidRDefault="007C7D0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C7D0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7C7D0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7D0E" w:rsidTr="00801458">
        <w:tc>
          <w:tcPr>
            <w:tcW w:w="2500" w:type="pct"/>
          </w:tcPr>
          <w:p w:rsidR="00B8237E" w:rsidRPr="007C7D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C7D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7D0E" w:rsidTr="00801458">
        <w:tc>
          <w:tcPr>
            <w:tcW w:w="2500" w:type="pct"/>
          </w:tcPr>
          <w:p w:rsidR="00B8237E" w:rsidRPr="007C7D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C7D0E" w:rsidRDefault="005C548A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C7D0E" w:rsidTr="00801458">
        <w:tc>
          <w:tcPr>
            <w:tcW w:w="2500" w:type="pct"/>
          </w:tcPr>
          <w:p w:rsidR="00B8237E" w:rsidRPr="007C7D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7C7D0E" w:rsidRDefault="005C548A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C7D0E" w:rsidTr="00801458">
        <w:tc>
          <w:tcPr>
            <w:tcW w:w="2500" w:type="pct"/>
          </w:tcPr>
          <w:p w:rsidR="00B8237E" w:rsidRPr="007C7D0E" w:rsidRDefault="00B8237E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C7D0E" w:rsidRDefault="005C548A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C7D0E" w:rsidTr="00801458">
        <w:tc>
          <w:tcPr>
            <w:tcW w:w="2500" w:type="pct"/>
          </w:tcPr>
          <w:p w:rsidR="00B8237E" w:rsidRPr="007C7D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C7D0E" w:rsidRDefault="005C548A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C7D0E" w:rsidTr="00801458">
        <w:tc>
          <w:tcPr>
            <w:tcW w:w="2500" w:type="pct"/>
          </w:tcPr>
          <w:p w:rsidR="00B8237E" w:rsidRPr="007C7D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7C7D0E" w:rsidRDefault="005C548A" w:rsidP="00801458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7C7D0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C7D0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C7D0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D41" w:rsidRDefault="00904D41" w:rsidP="00315CA6">
      <w:pPr>
        <w:spacing w:after="0" w:line="240" w:lineRule="auto"/>
      </w:pPr>
      <w:r>
        <w:separator/>
      </w:r>
    </w:p>
  </w:endnote>
  <w:endnote w:type="continuationSeparator" w:id="0">
    <w:p w:rsidR="00904D41" w:rsidRDefault="00904D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D44F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3670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D41" w:rsidRDefault="00904D41" w:rsidP="00315CA6">
      <w:pPr>
        <w:spacing w:after="0" w:line="240" w:lineRule="auto"/>
      </w:pPr>
      <w:r>
        <w:separator/>
      </w:r>
    </w:p>
  </w:footnote>
  <w:footnote w:type="continuationSeparator" w:id="0">
    <w:p w:rsidR="00904D41" w:rsidRDefault="00904D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24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7D0E"/>
    <w:rsid w:val="007D27FA"/>
    <w:rsid w:val="007D44F8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4D4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670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D19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1AEAA51"/>
  <w15:docId w15:val="{EA28960E-EE2E-4E09-9FCD-5C1E36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44F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9F%D1%80%D0%BE%D0%B5%D0%BA%D1%82%D1%8B%20%D0%BF%D0%BE%D0%B2%D1%8B%D1%88%D0%B5%D0%BD%D0%B8%D1%8F%20%D1%84%D0%B8%D0%BD%D0%B0%D0%BD%D1%81%D0%BE%D0%B2%D0%BE%D0%B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2.urait.ru/viewer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845A87-2FFC-46A0-B0EA-7CA8A767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