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переводоведение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(Английский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728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28B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45F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5F7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45F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45F72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45F7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45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5F72">
              <w:rPr>
                <w:rFonts w:ascii="Times New Roman" w:hAnsi="Times New Roman" w:cs="Times New Roman"/>
                <w:sz w:val="20"/>
                <w:szCs w:val="20"/>
              </w:rPr>
              <w:t>Воложанина</w:t>
            </w:r>
            <w:proofErr w:type="spellEnd"/>
            <w:r w:rsidRPr="00445F72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728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28B6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C4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3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3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3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4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5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5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5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6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7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8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10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10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10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11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12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12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D75436" w:rsidRDefault="002728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C41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C4106">
              <w:rPr>
                <w:noProof/>
                <w:webHidden/>
              </w:rPr>
            </w:r>
            <w:r w:rsidR="009C4106">
              <w:rPr>
                <w:noProof/>
                <w:webHidden/>
              </w:rPr>
              <w:fldChar w:fldCharType="separate"/>
            </w:r>
            <w:r w:rsidR="001C238D">
              <w:rPr>
                <w:noProof/>
                <w:webHidden/>
              </w:rPr>
              <w:t>12</w:t>
            </w:r>
            <w:r w:rsidR="009C410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C410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обучаемых представление о процессе и особенностях устного и письменного перевода, о диапазоне развития и перспективах переводческой профессии; об основных аспектах переводоведения и категориях перевода; о переводческих универсалиях, базовых переводческих стратегиях, приемах и трансформациях; о критериях оценки качества устного и письменного перевода; выработать базовый навык устного/письменного перевода профессиональных текстов с/на изучаемый иностранный язык и оценки качества перевода.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Введение в переводоведение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126"/>
        <w:gridCol w:w="5382"/>
      </w:tblGrid>
      <w:tr w:rsidR="00751095" w:rsidRPr="00445F7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5F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5F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5F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5F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5F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45F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5F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5F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5F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  <w:lang w:bidi="ru-RU"/>
              </w:rPr>
              <w:t xml:space="preserve">ПК-5.2 - Владеет навыком выполнения </w:t>
            </w:r>
            <w:proofErr w:type="spellStart"/>
            <w:r w:rsidRPr="00445F72">
              <w:rPr>
                <w:rFonts w:ascii="Times New Roman" w:hAnsi="Times New Roman" w:cs="Times New Roman"/>
                <w:lang w:bidi="ru-RU"/>
              </w:rPr>
              <w:t>предпереводческого</w:t>
            </w:r>
            <w:proofErr w:type="spellEnd"/>
            <w:r w:rsidRPr="00445F72">
              <w:rPr>
                <w:rFonts w:ascii="Times New Roman" w:hAnsi="Times New Roman" w:cs="Times New Roman"/>
                <w:lang w:bidi="ru-RU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5F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5F72">
              <w:rPr>
                <w:rFonts w:ascii="Times New Roman" w:hAnsi="Times New Roman" w:cs="Times New Roman"/>
              </w:rPr>
              <w:t>базовые особенности устного и письменного перевода как процесса и как профессиональной деятельности; языковые и функциональные особенности устных и письменных текстов на родном и иностранном языках.</w:t>
            </w:r>
            <w:r w:rsidRPr="00445F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5F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5F72">
              <w:rPr>
                <w:rFonts w:ascii="Times New Roman" w:hAnsi="Times New Roman" w:cs="Times New Roman"/>
              </w:rPr>
              <w:t xml:space="preserve">выполнять анализ и синтез переводческих стратегий в зависимости от коммуникативно-функциональных установок в ситуации </w:t>
            </w:r>
            <w:proofErr w:type="gramStart"/>
            <w:r w:rsidR="00FD518F" w:rsidRPr="00445F72">
              <w:rPr>
                <w:rFonts w:ascii="Times New Roman" w:hAnsi="Times New Roman" w:cs="Times New Roman"/>
              </w:rPr>
              <w:t>перевода.</w:t>
            </w:r>
            <w:r w:rsidRPr="00445F72">
              <w:rPr>
                <w:rFonts w:ascii="Times New Roman" w:hAnsi="Times New Roman" w:cs="Times New Roman"/>
              </w:rPr>
              <w:t>.</w:t>
            </w:r>
            <w:proofErr w:type="gramEnd"/>
            <w:r w:rsidRPr="00445F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5F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5F72">
              <w:rPr>
                <w:rFonts w:ascii="Times New Roman" w:hAnsi="Times New Roman" w:cs="Times New Roman"/>
              </w:rPr>
              <w:t xml:space="preserve">навыком осуществления перевода, отвечающего критериям адекватности, языковой эквивалентности, функциональности и релевантности; навыком оценки качества </w:t>
            </w:r>
            <w:proofErr w:type="gramStart"/>
            <w:r w:rsidR="00FD518F" w:rsidRPr="00445F72">
              <w:rPr>
                <w:rFonts w:ascii="Times New Roman" w:hAnsi="Times New Roman" w:cs="Times New Roman"/>
              </w:rPr>
              <w:t>перевода.</w:t>
            </w:r>
            <w:r w:rsidRPr="00445F7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45F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общее переводоведение.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современного переводоведения (c XX века). Объект, предмет, цели, задачи, рубрикация современного переводоведения. Междисциплинарный характер современного переводоведения.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категории переводоведения.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единицы перевода и единицы языка. Понятие переводческой стратегии. </w:t>
            </w:r>
            <w:proofErr w:type="spellStart"/>
            <w:r w:rsidRPr="00352B6F">
              <w:rPr>
                <w:lang w:bidi="ru-RU"/>
              </w:rPr>
              <w:t>Переводимость</w:t>
            </w:r>
            <w:proofErr w:type="spellEnd"/>
            <w:r w:rsidRPr="00352B6F">
              <w:rPr>
                <w:lang w:bidi="ru-RU"/>
              </w:rPr>
              <w:t xml:space="preserve">, непереводимость, относительная </w:t>
            </w:r>
            <w:proofErr w:type="spellStart"/>
            <w:r w:rsidRPr="00352B6F">
              <w:rPr>
                <w:lang w:bidi="ru-RU"/>
              </w:rPr>
              <w:t>переводимость</w:t>
            </w:r>
            <w:proofErr w:type="spellEnd"/>
            <w:r w:rsidRPr="00352B6F">
              <w:rPr>
                <w:lang w:bidi="ru-RU"/>
              </w:rPr>
              <w:t xml:space="preserve"> оригинала. Нормативно-оценочные категории перевода: адекватность, эквивалентность, функциональность, релевантность. Норма и критика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Введение в частное переводоведение.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Переводческая </w:t>
            </w:r>
            <w:proofErr w:type="spellStart"/>
            <w:r w:rsidRPr="00352B6F">
              <w:rPr>
                <w:lang w:bidi="ru-RU"/>
              </w:rPr>
              <w:t>транслатология</w:t>
            </w:r>
            <w:proofErr w:type="spellEnd"/>
            <w:r w:rsidRPr="00352B6F">
              <w:rPr>
                <w:lang w:bidi="ru-RU"/>
              </w:rPr>
              <w:t xml:space="preserve">. Понятие и роль </w:t>
            </w:r>
            <w:proofErr w:type="spellStart"/>
            <w:r w:rsidRPr="00352B6F">
              <w:rPr>
                <w:lang w:bidi="ru-RU"/>
              </w:rPr>
              <w:t>предпереводческого</w:t>
            </w:r>
            <w:proofErr w:type="spellEnd"/>
            <w:r w:rsidRPr="00352B6F">
              <w:rPr>
                <w:lang w:bidi="ru-RU"/>
              </w:rPr>
              <w:t xml:space="preserve"> анализа текста. Характеристики оригинала, реципиента, целей перевода. Теория соответствий и трансформаций (приемов) при переводе. Принципы и важность актуального членения в ПЯ и ИЯ. Общие аспекты </w:t>
            </w:r>
            <w:proofErr w:type="spellStart"/>
            <w:r w:rsidRPr="00352B6F">
              <w:rPr>
                <w:lang w:bidi="ru-RU"/>
              </w:rPr>
              <w:t>лингвокультурной</w:t>
            </w:r>
            <w:proofErr w:type="spellEnd"/>
            <w:r w:rsidRPr="00352B6F">
              <w:rPr>
                <w:lang w:bidi="ru-RU"/>
              </w:rPr>
              <w:t xml:space="preserve"> специфики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Проблемы перевода: лексико-семантические, грамматические, комплексные.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Приемы транслитерации, транскрипции, калькирования при переводе. Обобщение объема понятий (генерализация). Ограничение объема понятий (конкретизация). Несовпадение/совпадение структур грамматического значения в системах языка-перевода (ПЯ) и языка-источника (ИЯ). Антонимический перевод. Смысловое развитие (модуляция). Компенсация. Переводческая парафраза и переводческий комментарий. Перевод имен собственных. Перевод </w:t>
            </w:r>
            <w:proofErr w:type="spellStart"/>
            <w:r w:rsidRPr="00352B6F">
              <w:rPr>
                <w:lang w:bidi="ru-RU"/>
              </w:rPr>
              <w:t>онимов</w:t>
            </w:r>
            <w:proofErr w:type="spellEnd"/>
            <w:r w:rsidRPr="00352B6F">
              <w:rPr>
                <w:lang w:bidi="ru-RU"/>
              </w:rPr>
              <w:t>. Перевод наименований реалий культуры. Перевод специальной лексики (термины). Перевод фразеологических единиц. Особенности перевода стилистических фигур и приемов образности.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5F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Прошина, Зоя Теория </w:t>
            </w:r>
            <w:proofErr w:type="gram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З. Г. Прошина.4-е изд.,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, 2022 - 320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28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https://urait.ru/bcode/495016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5F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Гарбовский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, Николай Константинович Теория </w:t>
            </w:r>
            <w:proofErr w:type="gram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К. Гарбовский.3-е изд.,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, 2022 -387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28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https://urait.ru/bcode/489191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5F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Латышев, Лев Константинович Технология </w:t>
            </w:r>
            <w:proofErr w:type="gram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К. Латышев, Н. Ю. Северова.4-е изд., пер. и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, 2022 - 263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28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https://urait.ru/bcode/489013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5F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Сдобников, В. </w:t>
            </w:r>
            <w:proofErr w:type="spell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В.Теория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перевода. Коммуникативно-функциональный </w:t>
            </w:r>
            <w:proofErr w:type="gram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лингвистических вузов и факультетов иностранных языков; ФГБОУ ВО «Нижегородский государственный лингвистический университет им. Н. А. Добролюбова». — 2-е изд., эл. / В. В. Сдобников, К. Е. Калинин, О. В. </w:t>
            </w:r>
            <w:proofErr w:type="spellStart"/>
            <w:proofErr w:type="gramStart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>ПетроваМосква</w:t>
            </w:r>
            <w:proofErr w:type="spell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5F72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книга, 2020 - 513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45F72" w:rsidRDefault="002728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https://ibooks.ru/bookshelf/368056/reading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AntConc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28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5F72" w:rsidTr="008416EB">
        <w:tc>
          <w:tcPr>
            <w:tcW w:w="7797" w:type="dxa"/>
            <w:shd w:val="clear" w:color="auto" w:fill="auto"/>
          </w:tcPr>
          <w:p w:rsidR="002C735C" w:rsidRPr="00445F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5F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45F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5F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5F72" w:rsidTr="008416EB">
        <w:tc>
          <w:tcPr>
            <w:tcW w:w="7797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5F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5F72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445F72">
              <w:rPr>
                <w:sz w:val="22"/>
                <w:szCs w:val="22"/>
                <w:lang w:val="en-US"/>
              </w:rPr>
              <w:t>HP</w:t>
            </w:r>
            <w:r w:rsidRPr="00445F72">
              <w:rPr>
                <w:sz w:val="22"/>
                <w:szCs w:val="22"/>
              </w:rPr>
              <w:t xml:space="preserve"> 250 </w:t>
            </w:r>
            <w:r w:rsidRPr="00445F72">
              <w:rPr>
                <w:sz w:val="22"/>
                <w:szCs w:val="22"/>
                <w:lang w:val="en-US"/>
              </w:rPr>
              <w:t>G</w:t>
            </w:r>
            <w:r w:rsidRPr="00445F72">
              <w:rPr>
                <w:sz w:val="22"/>
                <w:szCs w:val="22"/>
              </w:rPr>
              <w:t>6 1</w:t>
            </w:r>
            <w:r w:rsidRPr="00445F72">
              <w:rPr>
                <w:sz w:val="22"/>
                <w:szCs w:val="22"/>
                <w:lang w:val="en-US"/>
              </w:rPr>
              <w:t>WY</w:t>
            </w:r>
            <w:r w:rsidRPr="00445F72">
              <w:rPr>
                <w:sz w:val="22"/>
                <w:szCs w:val="22"/>
              </w:rPr>
              <w:t>58</w:t>
            </w:r>
            <w:r w:rsidRPr="00445F72">
              <w:rPr>
                <w:sz w:val="22"/>
                <w:szCs w:val="22"/>
                <w:lang w:val="en-US"/>
              </w:rPr>
              <w:t>EA</w:t>
            </w:r>
            <w:r w:rsidRPr="00445F72">
              <w:rPr>
                <w:sz w:val="22"/>
                <w:szCs w:val="22"/>
              </w:rPr>
              <w:t xml:space="preserve">, Мультимедийный проектор </w:t>
            </w:r>
            <w:r w:rsidRPr="00445F72">
              <w:rPr>
                <w:sz w:val="22"/>
                <w:szCs w:val="22"/>
                <w:lang w:val="en-US"/>
              </w:rPr>
              <w:t>LG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PF</w:t>
            </w:r>
            <w:r w:rsidRPr="00445F72">
              <w:rPr>
                <w:sz w:val="22"/>
                <w:szCs w:val="22"/>
              </w:rPr>
              <w:t>1500</w:t>
            </w:r>
            <w:r w:rsidRPr="00445F72">
              <w:rPr>
                <w:sz w:val="22"/>
                <w:szCs w:val="22"/>
                <w:lang w:val="en-US"/>
              </w:rPr>
              <w:t>G</w:t>
            </w:r>
            <w:r w:rsidRPr="00445F7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45F72" w:rsidTr="008416EB">
        <w:tc>
          <w:tcPr>
            <w:tcW w:w="7797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5F7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45F72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445F72">
              <w:rPr>
                <w:sz w:val="22"/>
                <w:szCs w:val="22"/>
              </w:rPr>
              <w:t>тринога</w:t>
            </w:r>
            <w:proofErr w:type="spellEnd"/>
            <w:r w:rsidRPr="00445F72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445F72">
              <w:rPr>
                <w:sz w:val="22"/>
                <w:szCs w:val="22"/>
              </w:rPr>
              <w:t>вешКомпьютер</w:t>
            </w:r>
            <w:proofErr w:type="spellEnd"/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Intel</w:t>
            </w:r>
            <w:r w:rsidRPr="00445F72">
              <w:rPr>
                <w:sz w:val="22"/>
                <w:szCs w:val="22"/>
              </w:rPr>
              <w:t xml:space="preserve"> </w:t>
            </w:r>
            <w:proofErr w:type="spellStart"/>
            <w:r w:rsidRPr="00445F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5F72">
              <w:rPr>
                <w:sz w:val="22"/>
                <w:szCs w:val="22"/>
              </w:rPr>
              <w:t xml:space="preserve">3-2100 2.4 </w:t>
            </w:r>
            <w:proofErr w:type="spellStart"/>
            <w:r w:rsidRPr="00445F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5F72">
              <w:rPr>
                <w:sz w:val="22"/>
                <w:szCs w:val="22"/>
              </w:rPr>
              <w:t>/4 4</w:t>
            </w:r>
            <w:r w:rsidRPr="00445F72">
              <w:rPr>
                <w:sz w:val="22"/>
                <w:szCs w:val="22"/>
                <w:lang w:val="en-US"/>
              </w:rPr>
              <w:t>Gb</w:t>
            </w:r>
            <w:r w:rsidRPr="00445F72">
              <w:rPr>
                <w:sz w:val="22"/>
                <w:szCs w:val="22"/>
              </w:rPr>
              <w:t>/500</w:t>
            </w:r>
            <w:r w:rsidRPr="00445F72">
              <w:rPr>
                <w:sz w:val="22"/>
                <w:szCs w:val="22"/>
                <w:lang w:val="en-US"/>
              </w:rPr>
              <w:t>Gb</w:t>
            </w:r>
            <w:r w:rsidRPr="00445F72">
              <w:rPr>
                <w:sz w:val="22"/>
                <w:szCs w:val="22"/>
              </w:rPr>
              <w:t>/</w:t>
            </w:r>
            <w:r w:rsidRPr="00445F72">
              <w:rPr>
                <w:sz w:val="22"/>
                <w:szCs w:val="22"/>
                <w:lang w:val="en-US"/>
              </w:rPr>
              <w:t>Acer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V</w:t>
            </w:r>
            <w:r w:rsidRPr="00445F7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45F72">
              <w:rPr>
                <w:sz w:val="22"/>
                <w:szCs w:val="22"/>
                <w:lang w:val="en-US"/>
              </w:rPr>
              <w:t>Epson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EB</w:t>
            </w:r>
            <w:r w:rsidRPr="00445F72">
              <w:rPr>
                <w:sz w:val="22"/>
                <w:szCs w:val="22"/>
              </w:rPr>
              <w:t>-450</w:t>
            </w:r>
            <w:r w:rsidRPr="00445F72">
              <w:rPr>
                <w:sz w:val="22"/>
                <w:szCs w:val="22"/>
                <w:lang w:val="en-US"/>
              </w:rPr>
              <w:t>Wi</w:t>
            </w:r>
            <w:r w:rsidRPr="00445F72">
              <w:rPr>
                <w:sz w:val="22"/>
                <w:szCs w:val="22"/>
              </w:rPr>
              <w:t xml:space="preserve"> - 1 шт., Моноблок </w:t>
            </w:r>
            <w:r w:rsidRPr="00445F72">
              <w:rPr>
                <w:sz w:val="22"/>
                <w:szCs w:val="22"/>
                <w:lang w:val="en-US"/>
              </w:rPr>
              <w:t>Acer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Aspire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Z</w:t>
            </w:r>
            <w:r w:rsidRPr="00445F72">
              <w:rPr>
                <w:sz w:val="22"/>
                <w:szCs w:val="22"/>
              </w:rPr>
              <w:t xml:space="preserve">1811 в </w:t>
            </w:r>
            <w:proofErr w:type="spellStart"/>
            <w:r w:rsidRPr="00445F72">
              <w:rPr>
                <w:sz w:val="22"/>
                <w:szCs w:val="22"/>
              </w:rPr>
              <w:t>компл</w:t>
            </w:r>
            <w:proofErr w:type="spellEnd"/>
            <w:r w:rsidRPr="00445F72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445F72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  <w:tr w:rsidR="002C735C" w:rsidRPr="00445F72" w:rsidTr="008416EB">
        <w:tc>
          <w:tcPr>
            <w:tcW w:w="7797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5F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5F72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445F72">
              <w:rPr>
                <w:sz w:val="22"/>
                <w:szCs w:val="22"/>
                <w:lang w:val="en-US"/>
              </w:rPr>
              <w:t>Acer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Aspire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Z</w:t>
            </w:r>
            <w:r w:rsidRPr="00445F72">
              <w:rPr>
                <w:sz w:val="22"/>
                <w:szCs w:val="22"/>
              </w:rPr>
              <w:t xml:space="preserve">1811 </w:t>
            </w:r>
            <w:r w:rsidRPr="00445F72">
              <w:rPr>
                <w:sz w:val="22"/>
                <w:szCs w:val="22"/>
                <w:lang w:val="en-US"/>
              </w:rPr>
              <w:t>Intel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Core</w:t>
            </w:r>
            <w:r w:rsidRPr="00445F72">
              <w:rPr>
                <w:sz w:val="22"/>
                <w:szCs w:val="22"/>
              </w:rPr>
              <w:t xml:space="preserve"> </w:t>
            </w:r>
            <w:proofErr w:type="spellStart"/>
            <w:r w:rsidRPr="00445F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5F72">
              <w:rPr>
                <w:sz w:val="22"/>
                <w:szCs w:val="22"/>
              </w:rPr>
              <w:t>5-2400</w:t>
            </w:r>
            <w:r w:rsidRPr="00445F72">
              <w:rPr>
                <w:sz w:val="22"/>
                <w:szCs w:val="22"/>
                <w:lang w:val="en-US"/>
              </w:rPr>
              <w:t>S</w:t>
            </w:r>
            <w:r w:rsidRPr="00445F72">
              <w:rPr>
                <w:sz w:val="22"/>
                <w:szCs w:val="22"/>
              </w:rPr>
              <w:t>@2.50</w:t>
            </w:r>
            <w:r w:rsidRPr="00445F72">
              <w:rPr>
                <w:sz w:val="22"/>
                <w:szCs w:val="22"/>
                <w:lang w:val="en-US"/>
              </w:rPr>
              <w:t>GHz</w:t>
            </w:r>
            <w:r w:rsidRPr="00445F72">
              <w:rPr>
                <w:sz w:val="22"/>
                <w:szCs w:val="22"/>
              </w:rPr>
              <w:t>/4</w:t>
            </w:r>
            <w:r w:rsidRPr="00445F72">
              <w:rPr>
                <w:sz w:val="22"/>
                <w:szCs w:val="22"/>
                <w:lang w:val="en-US"/>
              </w:rPr>
              <w:t>Gb</w:t>
            </w:r>
            <w:r w:rsidRPr="00445F72">
              <w:rPr>
                <w:sz w:val="22"/>
                <w:szCs w:val="22"/>
              </w:rPr>
              <w:t>/1</w:t>
            </w:r>
            <w:r w:rsidRPr="00445F72">
              <w:rPr>
                <w:sz w:val="22"/>
                <w:szCs w:val="22"/>
                <w:lang w:val="en-US"/>
              </w:rPr>
              <w:t>Tb</w:t>
            </w:r>
            <w:r w:rsidRPr="00445F72">
              <w:rPr>
                <w:sz w:val="22"/>
                <w:szCs w:val="22"/>
              </w:rPr>
              <w:t xml:space="preserve"> - 1 шт., Мультимедийный проектор  </w:t>
            </w:r>
            <w:r w:rsidRPr="00445F72">
              <w:rPr>
                <w:sz w:val="22"/>
                <w:szCs w:val="22"/>
                <w:lang w:val="en-US"/>
              </w:rPr>
              <w:t>Panasonic</w:t>
            </w:r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PT</w:t>
            </w:r>
            <w:r w:rsidRPr="00445F72">
              <w:rPr>
                <w:sz w:val="22"/>
                <w:szCs w:val="22"/>
              </w:rPr>
              <w:t>-</w:t>
            </w:r>
            <w:r w:rsidRPr="00445F72">
              <w:rPr>
                <w:sz w:val="22"/>
                <w:szCs w:val="22"/>
                <w:lang w:val="en-US"/>
              </w:rPr>
              <w:t>VX</w:t>
            </w:r>
            <w:r w:rsidRPr="00445F7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45F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5F72">
              <w:rPr>
                <w:sz w:val="22"/>
                <w:szCs w:val="22"/>
              </w:rPr>
              <w:t xml:space="preserve"> </w:t>
            </w:r>
            <w:r w:rsidRPr="00445F72">
              <w:rPr>
                <w:sz w:val="22"/>
                <w:szCs w:val="22"/>
                <w:lang w:val="en-US"/>
              </w:rPr>
              <w:t>Champion</w:t>
            </w:r>
            <w:r w:rsidRPr="00445F72">
              <w:rPr>
                <w:sz w:val="22"/>
                <w:szCs w:val="22"/>
              </w:rPr>
              <w:t xml:space="preserve"> 305х229см (</w:t>
            </w:r>
            <w:r w:rsidRPr="00445F72">
              <w:rPr>
                <w:sz w:val="22"/>
                <w:szCs w:val="22"/>
                <w:lang w:val="en-US"/>
              </w:rPr>
              <w:t>SCM</w:t>
            </w:r>
            <w:r w:rsidRPr="00445F72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5F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5F7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Возникновение и становление современного переводоведения (20 век, в России и </w:t>
            </w:r>
            <w:proofErr w:type="spellStart"/>
            <w:r w:rsidRPr="00445F72">
              <w:rPr>
                <w:sz w:val="23"/>
                <w:szCs w:val="23"/>
              </w:rPr>
              <w:t>зарубежом</w:t>
            </w:r>
            <w:proofErr w:type="spellEnd"/>
            <w:r w:rsidRPr="00445F72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Предмет, объект, цели и задачи современного переводоведения.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Определение сущности перевода как средства межъязыкового и межкультурного общения.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Междисциплинарный характер переводоведения. Связь современного переводоведения с другими науками гуманитарного цикла.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Понятие единицы перевода, подходы к ее определению.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Понятие инварианта перевода (перечислить все известные подходы к определению инварианта).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Понятие </w:t>
            </w:r>
            <w:proofErr w:type="spellStart"/>
            <w:r w:rsidRPr="00445F72">
              <w:rPr>
                <w:sz w:val="23"/>
                <w:szCs w:val="23"/>
              </w:rPr>
              <w:t>переводимости</w:t>
            </w:r>
            <w:proofErr w:type="spellEnd"/>
            <w:r w:rsidRPr="00445F72">
              <w:rPr>
                <w:sz w:val="23"/>
                <w:szCs w:val="23"/>
              </w:rPr>
              <w:t xml:space="preserve">, непереводимости, относительной </w:t>
            </w:r>
            <w:proofErr w:type="spellStart"/>
            <w:r w:rsidRPr="00445F72">
              <w:rPr>
                <w:sz w:val="23"/>
                <w:szCs w:val="23"/>
              </w:rPr>
              <w:t>переводимости</w:t>
            </w:r>
            <w:proofErr w:type="spellEnd"/>
            <w:r w:rsidRPr="00445F72">
              <w:rPr>
                <w:sz w:val="23"/>
                <w:szCs w:val="23"/>
              </w:rPr>
              <w:t xml:space="preserve"> оригинала.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Нормативно-оценочные категории перевода: эквивалентность (формальная, уровневая, динамическая)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Нормативно-оценочные категории перевода: адекватность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Нормативно-оценочные категории перевода: релевантность, функциональность.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45F72">
              <w:rPr>
                <w:sz w:val="23"/>
                <w:szCs w:val="23"/>
              </w:rPr>
              <w:t>Транслатология</w:t>
            </w:r>
            <w:proofErr w:type="spellEnd"/>
            <w:r w:rsidRPr="00445F72">
              <w:rPr>
                <w:sz w:val="23"/>
                <w:szCs w:val="23"/>
              </w:rPr>
              <w:t xml:space="preserve"> текста. </w:t>
            </w:r>
            <w:proofErr w:type="spellStart"/>
            <w:r w:rsidRPr="00445F72">
              <w:rPr>
                <w:sz w:val="23"/>
                <w:szCs w:val="23"/>
              </w:rPr>
              <w:t>Транслатологическая</w:t>
            </w:r>
            <w:proofErr w:type="spellEnd"/>
            <w:r w:rsidRPr="00445F72">
              <w:rPr>
                <w:sz w:val="23"/>
                <w:szCs w:val="23"/>
              </w:rPr>
              <w:t xml:space="preserve"> классификация типов текста.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Виды информации по выполняемой функции. Виды информации по степени важности.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Понятие и функции </w:t>
            </w:r>
            <w:proofErr w:type="spellStart"/>
            <w:r w:rsidRPr="00445F72">
              <w:rPr>
                <w:sz w:val="23"/>
                <w:szCs w:val="23"/>
              </w:rPr>
              <w:t>предпереводческого</w:t>
            </w:r>
            <w:proofErr w:type="spellEnd"/>
            <w:r w:rsidRPr="00445F72">
              <w:rPr>
                <w:sz w:val="23"/>
                <w:szCs w:val="23"/>
              </w:rPr>
              <w:t xml:space="preserve">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Лексико-семантические приемы перевода: конкретизация и генерализация.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Лексические приемы перевода: особенности перевода имен собственных.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Лексические проблемы перевода: особенности перевода терминов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Лексические проблемы перевода: особенности перевода фразеологизмов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Комплексные приемы перевода: модуляция</w:t>
            </w:r>
            <w:r>
              <w:rPr>
                <w:sz w:val="23"/>
                <w:szCs w:val="23"/>
                <w:lang w:val="en-US"/>
              </w:rPr>
              <w:t> </w:t>
            </w:r>
            <w:r w:rsidRPr="00445F72">
              <w:rPr>
                <w:sz w:val="23"/>
                <w:szCs w:val="23"/>
              </w:rPr>
              <w:t>(смысловое развитие)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Комплексные приемы перевода: антонимический перевод.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Переводческие трансформации при несовпадении морфологических структур ИЯ и ПЯ.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Переводческие трансформации при несовпадении синтаксических структур ИЯ и ПЯ.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словосочетаний (субстантивные и атрибутивные словосочетания).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Роль и особенности актуального членения предложения при переводе.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компенсация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наименований культурных реалий.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45F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стилистических фигур: метафоры, метонимии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Грамматические трансформации при переводе </w:t>
            </w:r>
            <w:proofErr w:type="spellStart"/>
            <w:r w:rsidRPr="00445F72">
              <w:rPr>
                <w:sz w:val="23"/>
                <w:szCs w:val="23"/>
              </w:rPr>
              <w:t>газетно</w:t>
            </w:r>
            <w:proofErr w:type="spellEnd"/>
            <w:r w:rsidRPr="00445F72">
              <w:rPr>
                <w:sz w:val="23"/>
                <w:szCs w:val="23"/>
              </w:rPr>
              <w:t>-публицистических текстов с (изучаемого иностранного) языка на русский (авторские статьи в современных информационных англоязычных источниках).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Синтаксические трансформации при переводе научных (или иных специальных) текстов.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Национально-культурная адаптация текста в процессе перевода (сказки, фольклор).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экономической терминологии (банковская, страховая лексика, маркетинг...).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грамматических структур в условиях различия форм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Особенности перевода </w:t>
            </w:r>
            <w:proofErr w:type="spellStart"/>
            <w:r w:rsidRPr="00445F72">
              <w:rPr>
                <w:sz w:val="23"/>
                <w:szCs w:val="23"/>
              </w:rPr>
              <w:t>безэквивалентных</w:t>
            </w:r>
            <w:proofErr w:type="spellEnd"/>
            <w:r w:rsidRPr="00445F72">
              <w:rPr>
                <w:sz w:val="23"/>
                <w:szCs w:val="23"/>
              </w:rPr>
              <w:t xml:space="preserve"> лексических единиц (</w:t>
            </w:r>
            <w:proofErr w:type="spellStart"/>
            <w:r w:rsidRPr="00445F72">
              <w:rPr>
                <w:sz w:val="23"/>
                <w:szCs w:val="23"/>
              </w:rPr>
              <w:t>звукоизобразительная</w:t>
            </w:r>
            <w:proofErr w:type="spellEnd"/>
            <w:r w:rsidRPr="00445F72">
              <w:rPr>
                <w:sz w:val="23"/>
                <w:szCs w:val="23"/>
              </w:rPr>
              <w:t xml:space="preserve"> лексика, окказионализмы, реалии, </w:t>
            </w:r>
            <w:proofErr w:type="spellStart"/>
            <w:r w:rsidRPr="00445F72">
              <w:rPr>
                <w:sz w:val="23"/>
                <w:szCs w:val="23"/>
              </w:rPr>
              <w:t>культуронимы</w:t>
            </w:r>
            <w:proofErr w:type="spellEnd"/>
            <w:r w:rsidRPr="00445F72">
              <w:rPr>
                <w:sz w:val="23"/>
                <w:szCs w:val="23"/>
              </w:rPr>
              <w:t xml:space="preserve"> и т.д.).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молодежного сленга (на материале современных кинофильмов/сериалов).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профессионального жаргона (на материале современных кинофильмов/сериалов).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игры слов (перевод юмористического контента – сериалы/</w:t>
            </w:r>
            <w:r>
              <w:rPr>
                <w:sz w:val="23"/>
                <w:szCs w:val="23"/>
                <w:lang w:val="en-US"/>
              </w:rPr>
              <w:t>stand</w:t>
            </w:r>
            <w:r w:rsidRPr="00445F7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up</w:t>
            </w:r>
            <w:r w:rsidRPr="00445F72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грамматический категория/конструкций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Особенности перевода </w:t>
            </w:r>
            <w:proofErr w:type="spellStart"/>
            <w:r w:rsidRPr="00445F72">
              <w:rPr>
                <w:sz w:val="23"/>
                <w:szCs w:val="23"/>
              </w:rPr>
              <w:t>онимов</w:t>
            </w:r>
            <w:proofErr w:type="spellEnd"/>
            <w:r w:rsidRPr="00445F72">
              <w:rPr>
                <w:sz w:val="23"/>
                <w:szCs w:val="23"/>
              </w:rPr>
              <w:t xml:space="preserve"> (топонимов, имен собственных, </w:t>
            </w:r>
            <w:proofErr w:type="spellStart"/>
            <w:r w:rsidRPr="00445F72">
              <w:rPr>
                <w:sz w:val="23"/>
                <w:szCs w:val="23"/>
              </w:rPr>
              <w:t>урбанонимов</w:t>
            </w:r>
            <w:proofErr w:type="spellEnd"/>
            <w:r w:rsidRPr="00445F72">
              <w:rPr>
                <w:sz w:val="23"/>
                <w:szCs w:val="23"/>
              </w:rPr>
              <w:t xml:space="preserve"> и др. на материале художественной литературы жанра </w:t>
            </w:r>
            <w:proofErr w:type="spellStart"/>
            <w:r w:rsidRPr="00445F72">
              <w:rPr>
                <w:sz w:val="23"/>
                <w:szCs w:val="23"/>
              </w:rPr>
              <w:t>фэнтази</w:t>
            </w:r>
            <w:proofErr w:type="spellEnd"/>
            <w:r w:rsidRPr="00445F72">
              <w:rPr>
                <w:sz w:val="23"/>
                <w:szCs w:val="23"/>
              </w:rPr>
              <w:t>/утопия).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Анализ переводческих трансформаций в дублированном переводе (на материале переводов современных художественных фильмов).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Анализ переводов образных выразительных средств (на материале перевода художественных произведений/публицистики/текстов СМИ).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 xml:space="preserve">Анализ перевода лингвистического феномена (каламбур, игра слов, инверсионные конструкции и </w:t>
            </w:r>
            <w:proofErr w:type="spellStart"/>
            <w:r w:rsidRPr="00445F72">
              <w:rPr>
                <w:sz w:val="23"/>
                <w:szCs w:val="23"/>
              </w:rPr>
              <w:t>др</w:t>
            </w:r>
            <w:proofErr w:type="spellEnd"/>
            <w:r w:rsidRPr="00445F72">
              <w:rPr>
                <w:sz w:val="23"/>
                <w:szCs w:val="23"/>
              </w:rPr>
              <w:t xml:space="preserve">) при условии </w:t>
            </w:r>
            <w:proofErr w:type="spellStart"/>
            <w:r w:rsidRPr="00445F72">
              <w:rPr>
                <w:sz w:val="23"/>
                <w:szCs w:val="23"/>
              </w:rPr>
              <w:t>субтитрирования</w:t>
            </w:r>
            <w:proofErr w:type="spellEnd"/>
            <w:r w:rsidRPr="00445F72">
              <w:rPr>
                <w:sz w:val="23"/>
                <w:szCs w:val="23"/>
              </w:rPr>
              <w:t>/дубляжа.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Сравнительно-сопоставительный анализ адекватности перевода художественного произведения (любое современное художественное произведение с двумя разными переводами).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поэтического текста (вариации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способов перевода фразеологических единиц/средств выразительности (на материале переводов художественной литературы).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Анализ перевода лингвистического феномена (каламбур, игра слов, инверсионные конструкции и др.) в ... дискурсе (на выбор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5F72">
              <w:rPr>
                <w:sz w:val="23"/>
                <w:szCs w:val="23"/>
              </w:rPr>
              <w:t xml:space="preserve">Особенности перевода терминологической системы сферы...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обучающегося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Анализ переводческих решений при локализации (видеоигры, маркетинговые материалы и т.д.)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передачи модальности при переводе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применения комплексных видов трансформаций при переводе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национально-маркированной литературы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Особенности перевода художественного произведения в диахроническом аспекте (материал -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445F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5F72">
              <w:rPr>
                <w:sz w:val="23"/>
                <w:szCs w:val="23"/>
              </w:rPr>
              <w:t>Обоснование авторского перевода (материал - по выбору обучающегося).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45F7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5F72" w:rsidTr="00801458">
        <w:tc>
          <w:tcPr>
            <w:tcW w:w="2336" w:type="dxa"/>
          </w:tcPr>
          <w:p w:rsidR="005D65A5" w:rsidRPr="00445F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45F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45F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45F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5F72" w:rsidTr="00801458">
        <w:tc>
          <w:tcPr>
            <w:tcW w:w="2336" w:type="dxa"/>
          </w:tcPr>
          <w:p w:rsidR="005D65A5" w:rsidRPr="00445F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45F72" w:rsidTr="00801458">
        <w:tc>
          <w:tcPr>
            <w:tcW w:w="2336" w:type="dxa"/>
          </w:tcPr>
          <w:p w:rsidR="005D65A5" w:rsidRPr="00445F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45F72" w:rsidTr="00801458">
        <w:tc>
          <w:tcPr>
            <w:tcW w:w="2336" w:type="dxa"/>
          </w:tcPr>
          <w:p w:rsidR="005D65A5" w:rsidRPr="00445F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 xml:space="preserve">с помощью </w:t>
            </w:r>
            <w:r w:rsidRPr="00445F72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5F72" w:rsidRDefault="007478E0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lastRenderedPageBreak/>
              <w:t>1-4</w:t>
            </w:r>
          </w:p>
        </w:tc>
      </w:tr>
    </w:tbl>
    <w:p w:rsidR="00F56264" w:rsidRPr="00445F7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45F7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5F7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5F72" w:rsidTr="00445F72">
        <w:tc>
          <w:tcPr>
            <w:tcW w:w="562" w:type="dxa"/>
          </w:tcPr>
          <w:p w:rsidR="00445F72" w:rsidRDefault="00445F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45F72" w:rsidRDefault="00445F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45F72" w:rsidRPr="00445F72" w:rsidRDefault="00445F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45F7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5F7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45F7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5F72" w:rsidTr="00801458">
        <w:tc>
          <w:tcPr>
            <w:tcW w:w="2500" w:type="pct"/>
          </w:tcPr>
          <w:p w:rsidR="00B8237E" w:rsidRPr="00445F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45F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F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5F72" w:rsidTr="00801458">
        <w:tc>
          <w:tcPr>
            <w:tcW w:w="2500" w:type="pct"/>
          </w:tcPr>
          <w:p w:rsidR="00B8237E" w:rsidRPr="00445F72" w:rsidRDefault="00B8237E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45F72" w:rsidRDefault="005C548A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45F72" w:rsidTr="00801458">
        <w:tc>
          <w:tcPr>
            <w:tcW w:w="2500" w:type="pct"/>
          </w:tcPr>
          <w:p w:rsidR="00B8237E" w:rsidRPr="00445F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445F72" w:rsidRDefault="005C548A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445F72" w:rsidTr="00801458">
        <w:tc>
          <w:tcPr>
            <w:tcW w:w="2500" w:type="pct"/>
          </w:tcPr>
          <w:p w:rsidR="00B8237E" w:rsidRPr="00445F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45F72" w:rsidRDefault="005C548A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45F72" w:rsidTr="00801458">
        <w:tc>
          <w:tcPr>
            <w:tcW w:w="2500" w:type="pct"/>
          </w:tcPr>
          <w:p w:rsidR="00B8237E" w:rsidRPr="00445F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445F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5F7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445F72" w:rsidRDefault="005C548A" w:rsidP="00801458">
            <w:pPr>
              <w:rPr>
                <w:rFonts w:ascii="Times New Roman" w:hAnsi="Times New Roman" w:cs="Times New Roman"/>
              </w:rPr>
            </w:pPr>
            <w:r w:rsidRPr="00445F7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C23E7F" w:rsidRPr="00445F7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45F7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5F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5F7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45F7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72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97E" w:rsidRDefault="00FA197E" w:rsidP="00315CA6">
      <w:pPr>
        <w:spacing w:after="0" w:line="240" w:lineRule="auto"/>
      </w:pPr>
      <w:r>
        <w:separator/>
      </w:r>
    </w:p>
  </w:endnote>
  <w:endnote w:type="continuationSeparator" w:id="0">
    <w:p w:rsidR="00FA197E" w:rsidRDefault="00FA19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C410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C238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97E" w:rsidRDefault="00FA197E" w:rsidP="00315CA6">
      <w:pPr>
        <w:spacing w:after="0" w:line="240" w:lineRule="auto"/>
      </w:pPr>
      <w:r>
        <w:separator/>
      </w:r>
    </w:p>
  </w:footnote>
  <w:footnote w:type="continuationSeparator" w:id="0">
    <w:p w:rsidR="00FA197E" w:rsidRDefault="00FA19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38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8B6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F7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10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51E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97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A6D748B"/>
  <w15:docId w15:val="{9A670C9F-3ECB-4AC7-9C97-C435D230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10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0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1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50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books.ru/bookshelf/368056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8D550B-9954-47A1-895F-E5FB2CA8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3608</Words>
  <Characters>20569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