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профессиональной деятельности переводчика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93B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93B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015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53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015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153F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E0153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153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153F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E0153F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93B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93B3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54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3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3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4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5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5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5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6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6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7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8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D75436" w:rsidRDefault="00D93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544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54472">
              <w:rPr>
                <w:noProof/>
                <w:webHidden/>
              </w:rPr>
            </w:r>
            <w:r w:rsidR="00854472">
              <w:rPr>
                <w:noProof/>
                <w:webHidden/>
              </w:rPr>
              <w:fldChar w:fldCharType="separate"/>
            </w:r>
            <w:r w:rsidR="00934A5B">
              <w:rPr>
                <w:noProof/>
                <w:webHidden/>
              </w:rPr>
              <w:t>10</w:t>
            </w:r>
            <w:r w:rsidR="008544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544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будущей профессии (переводчик), а также способность анализировать процессы и тенденции, существующие в сфере переводческих услуг и на рынке переводческого труда.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профессиональной деятельности переводчика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E0153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15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15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15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015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15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153F">
              <w:rPr>
                <w:rFonts w:ascii="Times New Roman" w:hAnsi="Times New Roman" w:cs="Times New Roman"/>
              </w:rPr>
              <w:t>основные источники и способы поиска информации с использованием профессиональных аналитических баз данных и ресурсов.</w:t>
            </w:r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выстраивать критический анализ, синтез и систематизацию полученной информации для решения поставленных профессиональных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задач.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навыком выбора оптимального варианта решения поставленной задачи с последующей аргументацией своего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ответа.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015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153F">
              <w:rPr>
                <w:rFonts w:ascii="Times New Roman" w:hAnsi="Times New Roman" w:cs="Times New Roman"/>
              </w:rPr>
              <w:t>основы коммуникации в социуме, типологию личностей и систему ролей в межличностной и групповой коммуникации.</w:t>
            </w:r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выстраивать стратегию социального взаимодействия с участниками при поиске решения поставленных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задач.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навыком реализации социального взаимодействия, осуществления успешного межличностного общения и групповой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коммуникации.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015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 xml:space="preserve">ОПК-2.1 - Способен осуществлять профессиональную деятельность с учетом знания психолого-педагогических </w:t>
            </w:r>
            <w:r w:rsidRPr="00E0153F">
              <w:rPr>
                <w:rFonts w:ascii="Times New Roman" w:hAnsi="Times New Roman" w:cs="Times New Roman"/>
                <w:lang w:bidi="ru-RU"/>
              </w:rPr>
              <w:lastRenderedPageBreak/>
              <w:t>основ и методики обучения иностранным языкам и культурам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0153F">
              <w:rPr>
                <w:rFonts w:ascii="Times New Roman" w:hAnsi="Times New Roman" w:cs="Times New Roman"/>
              </w:rPr>
              <w:t>основы психолого-педагогической деятельности и методики обучения иностранным языкам; понятие культуры и культурного разнообразия.</w:t>
            </w:r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53F">
              <w:rPr>
                <w:rFonts w:ascii="Times New Roman" w:hAnsi="Times New Roman" w:cs="Times New Roman"/>
              </w:rPr>
              <w:t>применять знания психолого-педагогических основ и методики обучения иностранным языкам и культурам при поиске решений профессионально-</w:t>
            </w:r>
            <w:r w:rsidR="00FD518F" w:rsidRPr="00E0153F">
              <w:rPr>
                <w:rFonts w:ascii="Times New Roman" w:hAnsi="Times New Roman" w:cs="Times New Roman"/>
              </w:rPr>
              <w:lastRenderedPageBreak/>
              <w:t xml:space="preserve">релевантных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задач.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навыком оптимизации профессиональной деятельности с учетом результатов анализа и синтеза знаний психолого-педагогических основ и методики обучения иностранным языкам и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культурам.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015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ОПК-4.2 - Соблюдает социокультурные и этические нормы поведения, принятые в иноязычном социуме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153F">
              <w:rPr>
                <w:rFonts w:ascii="Times New Roman" w:hAnsi="Times New Roman" w:cs="Times New Roman"/>
              </w:rPr>
              <w:t xml:space="preserve">фонетические, грамматические, лексические и </w:t>
            </w:r>
            <w:proofErr w:type="spellStart"/>
            <w:r w:rsidR="00316402" w:rsidRPr="00E0153F">
              <w:rPr>
                <w:rFonts w:ascii="Times New Roman" w:hAnsi="Times New Roman" w:cs="Times New Roman"/>
              </w:rPr>
              <w:t>текстостроительные</w:t>
            </w:r>
            <w:proofErr w:type="spellEnd"/>
            <w:r w:rsidR="00316402" w:rsidRPr="00E0153F">
              <w:rPr>
                <w:rFonts w:ascii="Times New Roman" w:hAnsi="Times New Roman" w:cs="Times New Roman"/>
              </w:rPr>
              <w:t xml:space="preserve"> особенности государственного языка РФ и изучаемого иностранного языка, а также основы личностного речевого поведения.</w:t>
            </w:r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корректно использовать знания об этике, морали и культуре, принятых, в т.ч. в иноязычной среде, для осуществления устной и/или письменной межъязыковой и межкультурной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коммуникации.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навыком синтеза лингвистических и </w:t>
            </w:r>
            <w:proofErr w:type="spellStart"/>
            <w:r w:rsidR="00FD518F" w:rsidRPr="00E0153F">
              <w:rPr>
                <w:rFonts w:ascii="Times New Roman" w:hAnsi="Times New Roman" w:cs="Times New Roman"/>
              </w:rPr>
              <w:t>культуро</w:t>
            </w:r>
            <w:proofErr w:type="spellEnd"/>
            <w:r w:rsidR="00FD518F" w:rsidRPr="00E0153F">
              <w:rPr>
                <w:rFonts w:ascii="Times New Roman" w:hAnsi="Times New Roman" w:cs="Times New Roman"/>
              </w:rPr>
              <w:t>-ориентированных знаний для достижения поставленных профессиональных задач по формированию устойчивого межъязыкового посредничества (устного и/или письменного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).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015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ПК-5.1 - Способен анализировать и корректировать свое профессиональное поведение с учетом знания профессиональной этики и стратегий осуществления деловой коммуникации на рынке переводческого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153F">
              <w:rPr>
                <w:rFonts w:ascii="Times New Roman" w:hAnsi="Times New Roman" w:cs="Times New Roman"/>
              </w:rPr>
              <w:t>базовые понятия сферы переводческой деятельности, современную классификацию видов перевода, а также систему профессиональной этики и стандартов.</w:t>
            </w:r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синтезировать теоретические знания о профессии с целью повышения профессиональной конкурентоспособности с учетом изменений в профессиональной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сфере.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15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153F">
              <w:rPr>
                <w:rFonts w:ascii="Times New Roman" w:hAnsi="Times New Roman" w:cs="Times New Roman"/>
              </w:rPr>
              <w:t xml:space="preserve">навыком критического анализа своего профессионального поведения, способности адекватно функционировать на рынке переводческого труда, в том числе в деловом общении с другими участниками сферы переводческих </w:t>
            </w:r>
            <w:proofErr w:type="gramStart"/>
            <w:r w:rsidR="00FD518F" w:rsidRPr="00E0153F">
              <w:rPr>
                <w:rFonts w:ascii="Times New Roman" w:hAnsi="Times New Roman" w:cs="Times New Roman"/>
              </w:rPr>
              <w:t>услуг.</w:t>
            </w:r>
            <w:r w:rsidRPr="00E015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015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сферы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переводческие компании, агентства, бюро. Типы и принципы работы переводческих компаний. Лингвистическое сопровождение мероприятий. Принцип работы самозанятых переводчиков (фрилансеры).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Экономические,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юридические, компетентностные особенности работы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Профессиональные требования переводчика. Профессиональный стандарт работы </w:t>
            </w:r>
            <w:r w:rsidRPr="00352B6F">
              <w:rPr>
                <w:lang w:bidi="ru-RU"/>
              </w:rPr>
              <w:lastRenderedPageBreak/>
              <w:t>переводчика. Современные профессиональные организации и членство в них. Этический кодекс переводчика. Юридическая и экономическая сторона работы переводчика. Конфиденциальность работы переводчика.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виды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Предоставление услуги письменного перевода. Предоставление услуг устного перевода. Аудиовизуальный перевод. Локализация контента (все типы).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Знакомство с инструментами переводческой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CAT-инструменты для осуществления перевода. Принцип переводческой памяти. Облачные хранилища. RSI (удаленный) перевод, его особенности и программное обеспечение. Типы оборудования для синхронного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3B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93B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Морозова, О. Н. Основы теории и практики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Морозова. Основы теории и практики перевода, 2026-10-27.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Тамбов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Тамбовский государственный технический университет, ЭБС АСВ, 2020. </w:t>
            </w:r>
            <w:r w:rsidRPr="00D93B3A">
              <w:rPr>
                <w:rFonts w:ascii="Times New Roman" w:hAnsi="Times New Roman" w:cs="Times New Roman"/>
                <w:sz w:val="24"/>
                <w:szCs w:val="24"/>
              </w:rPr>
              <w:t>80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93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0153F">
                <w:rPr>
                  <w:color w:val="00008B"/>
                  <w:u w:val="single"/>
                  <w:lang w:val="en-US"/>
                </w:rPr>
                <w:t>https://www.iprbookshop.ru/115731.html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Введение в теорию межкультурной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Москва :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93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https://book.ru/book/929968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93B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0153F" w:rsidRPr="00CD318E" w:rsidTr="00AB510A">
        <w:tc>
          <w:tcPr>
            <w:tcW w:w="7797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0153F" w:rsidRPr="00CD318E" w:rsidTr="00AB510A">
        <w:tc>
          <w:tcPr>
            <w:tcW w:w="7797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CD318E">
              <w:rPr>
                <w:sz w:val="22"/>
                <w:szCs w:val="22"/>
                <w:lang w:val="en-US"/>
              </w:rPr>
              <w:t>Universal</w:t>
            </w:r>
            <w:r w:rsidRPr="00CD318E">
              <w:rPr>
                <w:sz w:val="22"/>
                <w:szCs w:val="22"/>
              </w:rPr>
              <w:t xml:space="preserve"> №1 - 4 шт., 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- 10 шт., Моноблок </w:t>
            </w:r>
            <w:r w:rsidRPr="00CD318E">
              <w:rPr>
                <w:sz w:val="22"/>
                <w:szCs w:val="22"/>
                <w:lang w:val="en-US"/>
              </w:rPr>
              <w:t>AIO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IRU</w:t>
            </w:r>
            <w:r w:rsidRPr="00CD318E">
              <w:rPr>
                <w:sz w:val="22"/>
                <w:szCs w:val="22"/>
              </w:rPr>
              <w:t xml:space="preserve"> 308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2.8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 xml:space="preserve">/4 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/1</w:t>
            </w:r>
            <w:r w:rsidRPr="00CD318E">
              <w:rPr>
                <w:sz w:val="22"/>
                <w:szCs w:val="22"/>
                <w:lang w:val="en-US"/>
              </w:rPr>
              <w:t>Tb</w:t>
            </w:r>
            <w:r w:rsidRPr="00CD318E">
              <w:rPr>
                <w:sz w:val="22"/>
                <w:szCs w:val="22"/>
              </w:rPr>
              <w:t xml:space="preserve"> - 1 шт., Сетевой коммутатор </w:t>
            </w:r>
            <w:r w:rsidRPr="00CD318E">
              <w:rPr>
                <w:sz w:val="22"/>
                <w:szCs w:val="22"/>
                <w:lang w:val="en-US"/>
              </w:rPr>
              <w:t>Switch</w:t>
            </w:r>
            <w:r w:rsidRPr="00CD318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0153F" w:rsidRPr="00CD318E" w:rsidTr="00AB510A">
        <w:tc>
          <w:tcPr>
            <w:tcW w:w="7797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D318E">
              <w:rPr>
                <w:sz w:val="22"/>
                <w:szCs w:val="22"/>
                <w:lang w:val="en-US"/>
              </w:rPr>
              <w:t>HP</w:t>
            </w:r>
            <w:r w:rsidRPr="00CD318E">
              <w:rPr>
                <w:sz w:val="22"/>
                <w:szCs w:val="22"/>
              </w:rPr>
              <w:t xml:space="preserve"> 250 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6 1</w:t>
            </w:r>
            <w:r w:rsidRPr="00CD318E">
              <w:rPr>
                <w:sz w:val="22"/>
                <w:szCs w:val="22"/>
                <w:lang w:val="en-US"/>
              </w:rPr>
              <w:t>WY</w:t>
            </w:r>
            <w:r w:rsidRPr="00CD318E">
              <w:rPr>
                <w:sz w:val="22"/>
                <w:szCs w:val="22"/>
              </w:rPr>
              <w:t>58</w:t>
            </w:r>
            <w:r w:rsidRPr="00CD318E">
              <w:rPr>
                <w:sz w:val="22"/>
                <w:szCs w:val="22"/>
                <w:lang w:val="en-US"/>
              </w:rPr>
              <w:t>EA</w:t>
            </w:r>
            <w:r w:rsidRPr="00CD318E">
              <w:rPr>
                <w:sz w:val="22"/>
                <w:szCs w:val="22"/>
              </w:rPr>
              <w:t xml:space="preserve">, Мультимедийный проектор </w:t>
            </w:r>
            <w:r w:rsidRPr="00CD318E">
              <w:rPr>
                <w:sz w:val="22"/>
                <w:szCs w:val="22"/>
                <w:lang w:val="en-US"/>
              </w:rPr>
              <w:t>LG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PF</w:t>
            </w:r>
            <w:r w:rsidRPr="00CD318E">
              <w:rPr>
                <w:sz w:val="22"/>
                <w:szCs w:val="22"/>
              </w:rPr>
              <w:t>1500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0153F" w:rsidRPr="00CD318E" w:rsidTr="00AB510A">
        <w:tc>
          <w:tcPr>
            <w:tcW w:w="7797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 шт.,  Проектор </w:t>
            </w:r>
            <w:r w:rsidRPr="00CD318E">
              <w:rPr>
                <w:sz w:val="22"/>
                <w:szCs w:val="22"/>
                <w:lang w:val="en-US"/>
              </w:rPr>
              <w:t>NEC</w:t>
            </w:r>
            <w:r w:rsidRPr="00CD318E">
              <w:rPr>
                <w:sz w:val="22"/>
                <w:szCs w:val="22"/>
              </w:rPr>
              <w:t xml:space="preserve"> М350 Х  - 1 шт., Акустическая система </w:t>
            </w:r>
            <w:r w:rsidRPr="00CD318E">
              <w:rPr>
                <w:sz w:val="22"/>
                <w:szCs w:val="22"/>
                <w:lang w:val="en-US"/>
              </w:rPr>
              <w:t>JBL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CONTROL</w:t>
            </w:r>
            <w:r w:rsidRPr="00CD318E">
              <w:rPr>
                <w:sz w:val="22"/>
                <w:szCs w:val="22"/>
              </w:rPr>
              <w:t xml:space="preserve"> 25 </w:t>
            </w:r>
            <w:r w:rsidRPr="00CD318E">
              <w:rPr>
                <w:sz w:val="22"/>
                <w:szCs w:val="22"/>
                <w:lang w:val="en-US"/>
              </w:rPr>
              <w:t>WH</w:t>
            </w:r>
            <w:r w:rsidRPr="00CD318E">
              <w:rPr>
                <w:sz w:val="22"/>
                <w:szCs w:val="22"/>
              </w:rPr>
              <w:t xml:space="preserve"> - 2 шт., Экран с электроприводом, </w:t>
            </w:r>
            <w:r w:rsidRPr="00CD318E">
              <w:rPr>
                <w:sz w:val="22"/>
                <w:szCs w:val="22"/>
                <w:lang w:val="en-US"/>
              </w:rPr>
              <w:t>DRAPER</w:t>
            </w:r>
            <w:r w:rsidRPr="00CD318E">
              <w:rPr>
                <w:sz w:val="22"/>
                <w:szCs w:val="22"/>
              </w:rPr>
              <w:t xml:space="preserve">  96 - 1 шт., Микшер-усилитель (</w:t>
            </w:r>
            <w:r w:rsidRPr="00CD318E">
              <w:rPr>
                <w:sz w:val="22"/>
                <w:szCs w:val="22"/>
                <w:lang w:val="en-US"/>
              </w:rPr>
              <w:t>JPA</w:t>
            </w:r>
            <w:r w:rsidRPr="00CD318E">
              <w:rPr>
                <w:sz w:val="22"/>
                <w:szCs w:val="22"/>
              </w:rPr>
              <w:t>-1240</w:t>
            </w:r>
            <w:r w:rsidRPr="00CD318E">
              <w:rPr>
                <w:sz w:val="22"/>
                <w:szCs w:val="22"/>
                <w:lang w:val="en-US"/>
              </w:rPr>
              <w:t>A</w:t>
            </w:r>
            <w:r w:rsidRPr="00CD318E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0153F" w:rsidRPr="00CD318E" w:rsidRDefault="00E0153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153F" w:rsidTr="00E0153F">
        <w:tc>
          <w:tcPr>
            <w:tcW w:w="562" w:type="dxa"/>
          </w:tcPr>
          <w:p w:rsidR="00E0153F" w:rsidRPr="00D93B3A" w:rsidRDefault="00E015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0153F" w:rsidRDefault="00E015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015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015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153F" w:rsidTr="00801458">
        <w:tc>
          <w:tcPr>
            <w:tcW w:w="2336" w:type="dxa"/>
          </w:tcPr>
          <w:p w:rsidR="005D65A5" w:rsidRPr="00E015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015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015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015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153F" w:rsidTr="00801458">
        <w:tc>
          <w:tcPr>
            <w:tcW w:w="2336" w:type="dxa"/>
          </w:tcPr>
          <w:p w:rsidR="005D65A5" w:rsidRPr="00E015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0153F" w:rsidTr="00801458">
        <w:tc>
          <w:tcPr>
            <w:tcW w:w="2336" w:type="dxa"/>
          </w:tcPr>
          <w:p w:rsidR="005D65A5" w:rsidRPr="00E015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0153F" w:rsidTr="00801458">
        <w:tc>
          <w:tcPr>
            <w:tcW w:w="2336" w:type="dxa"/>
          </w:tcPr>
          <w:p w:rsidR="005D65A5" w:rsidRPr="00E015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153F" w:rsidRDefault="007478E0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E015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015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0153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153F" w:rsidRPr="00E0153F" w:rsidTr="00E0153F">
        <w:tc>
          <w:tcPr>
            <w:tcW w:w="562" w:type="dxa"/>
          </w:tcPr>
          <w:p w:rsidR="00E0153F" w:rsidRPr="00E0153F" w:rsidRDefault="00E015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0153F" w:rsidRPr="00E0153F" w:rsidRDefault="00E015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0153F" w:rsidRPr="00E0153F" w:rsidRDefault="00E015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015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015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153F" w:rsidTr="00801458">
        <w:tc>
          <w:tcPr>
            <w:tcW w:w="2500" w:type="pct"/>
          </w:tcPr>
          <w:p w:rsidR="00B8237E" w:rsidRPr="00E015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015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153F" w:rsidTr="00801458">
        <w:tc>
          <w:tcPr>
            <w:tcW w:w="2500" w:type="pct"/>
          </w:tcPr>
          <w:p w:rsidR="00B8237E" w:rsidRPr="00E0153F" w:rsidRDefault="00B8237E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0153F" w:rsidRDefault="005C548A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0153F" w:rsidTr="00801458">
        <w:tc>
          <w:tcPr>
            <w:tcW w:w="2500" w:type="pct"/>
          </w:tcPr>
          <w:p w:rsidR="00B8237E" w:rsidRPr="00E015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0153F" w:rsidRDefault="005C548A" w:rsidP="00801458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E015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8A2" w:rsidRDefault="00E238A2" w:rsidP="00315CA6">
      <w:pPr>
        <w:spacing w:after="0" w:line="240" w:lineRule="auto"/>
      </w:pPr>
      <w:r>
        <w:separator/>
      </w:r>
    </w:p>
  </w:endnote>
  <w:endnote w:type="continuationSeparator" w:id="0">
    <w:p w:rsidR="00E238A2" w:rsidRDefault="00E238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544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34A5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8A2" w:rsidRDefault="00E238A2" w:rsidP="00315CA6">
      <w:pPr>
        <w:spacing w:after="0" w:line="240" w:lineRule="auto"/>
      </w:pPr>
      <w:r>
        <w:separator/>
      </w:r>
    </w:p>
  </w:footnote>
  <w:footnote w:type="continuationSeparator" w:id="0">
    <w:p w:rsidR="00E238A2" w:rsidRDefault="00E238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B1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47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A5B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B3A"/>
    <w:rsid w:val="00DC4D9A"/>
    <w:rsid w:val="00DC5B3C"/>
    <w:rsid w:val="00DE029E"/>
    <w:rsid w:val="00DE6C90"/>
    <w:rsid w:val="00DF2144"/>
    <w:rsid w:val="00E00C94"/>
    <w:rsid w:val="00E0153F"/>
    <w:rsid w:val="00E1429F"/>
    <w:rsid w:val="00E23467"/>
    <w:rsid w:val="00E238A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26241C1"/>
  <w15:docId w15:val="{58898472-CF3B-4A86-8573-17F5B49E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4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2996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1573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FD48A2-B840-4395-91C7-9604CA54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