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(практика по профилю профессиональной деятельности)</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38.04.02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Стратегическое корпоративное управление</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заочная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11C3B57B" w:rsidR="00A84091" w:rsidRPr="00BD3DA6" w:rsidRDefault="00BD3DA6" w:rsidP="00A84091">
            <w:pPr>
              <w:widowControl w:val="0"/>
              <w:autoSpaceDE w:val="0"/>
              <w:autoSpaceDN w:val="0"/>
              <w:rPr>
                <w:i/>
              </w:rPr>
            </w:pPr>
            <w:r w:rsidRPr="00BD3DA6">
              <w:rPr>
                <w:i/>
              </w:rPr>
              <w:t>202</w:t>
            </w:r>
            <w:r w:rsidR="005C0303">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B22420">
              <w:rPr>
                <w:sz w:val="20"/>
                <w:szCs w:val="20"/>
              </w:rPr>
              <w:t>к.э.н</w:t>
            </w:r>
            <w:proofErr w:type="spellEnd"/>
            <w:r w:rsidRPr="00B22420">
              <w:rPr>
                <w:sz w:val="20"/>
                <w:szCs w:val="20"/>
              </w:rPr>
              <w:t xml:space="preserve">, </w:t>
            </w:r>
            <w:proofErr w:type="spellStart"/>
            <w:r w:rsidRPr="00B22420">
              <w:rPr>
                <w:sz w:val="20"/>
                <w:szCs w:val="20"/>
              </w:rPr>
              <w:t>Зинчик</w:t>
            </w:r>
            <w:proofErr w:type="spellEnd"/>
            <w:r w:rsidRPr="00B22420">
              <w:rPr>
                <w:sz w:val="20"/>
                <w:szCs w:val="20"/>
              </w:rPr>
              <w:t xml:space="preserve"> Наталья Сергеевна</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216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4</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6</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B22420">
            <w:pPr>
              <w:jc w:val="center"/>
              <w:rPr>
                <w:rFonts w:eastAsia="Calibri"/>
                <w:sz w:val="20"/>
                <w:szCs w:val="20"/>
                <w:lang w:eastAsia="en-US"/>
              </w:rPr>
            </w:pPr>
            <w:r w:rsidRPr="0065641B">
              <w:rPr>
                <w:i/>
                <w:lang w:val="en-US"/>
              </w:rPr>
              <w:t>212</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0DEC56C0" w:rsidR="003E2CE6" w:rsidRPr="0065641B" w:rsidRDefault="00BD3DA6" w:rsidP="003E2CE6">
      <w:pPr>
        <w:jc w:val="center"/>
        <w:rPr>
          <w:lang w:val="en-US"/>
        </w:rPr>
      </w:pPr>
      <w:r>
        <w:t>202</w:t>
      </w:r>
      <w:r w:rsidR="005C0303">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0FD0A83D"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B22420">
          <w:rPr>
            <w:noProof/>
            <w:webHidden/>
          </w:rPr>
          <w:t>3</w:t>
        </w:r>
        <w:r w:rsidR="00DC42AF" w:rsidRPr="0065641B">
          <w:rPr>
            <w:noProof/>
            <w:webHidden/>
          </w:rPr>
          <w:fldChar w:fldCharType="end"/>
        </w:r>
      </w:hyperlink>
    </w:p>
    <w:p w14:paraId="4372E85E" w14:textId="410E1A39" w:rsidR="00DC42AF" w:rsidRPr="0065641B" w:rsidRDefault="005C0303">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B22420">
          <w:rPr>
            <w:noProof/>
            <w:webHidden/>
          </w:rPr>
          <w:t>3</w:t>
        </w:r>
        <w:r w:rsidR="00DC42AF" w:rsidRPr="0065641B">
          <w:rPr>
            <w:noProof/>
            <w:webHidden/>
          </w:rPr>
          <w:fldChar w:fldCharType="end"/>
        </w:r>
      </w:hyperlink>
    </w:p>
    <w:p w14:paraId="2A494660" w14:textId="570298C1" w:rsidR="00DC42AF" w:rsidRPr="0065641B" w:rsidRDefault="005C0303">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B22420">
          <w:rPr>
            <w:noProof/>
            <w:webHidden/>
          </w:rPr>
          <w:t>3</w:t>
        </w:r>
        <w:r w:rsidR="00DC42AF" w:rsidRPr="0065641B">
          <w:rPr>
            <w:noProof/>
            <w:webHidden/>
          </w:rPr>
          <w:fldChar w:fldCharType="end"/>
        </w:r>
      </w:hyperlink>
    </w:p>
    <w:p w14:paraId="581D9DC0" w14:textId="196C60B7" w:rsidR="00DC42AF" w:rsidRPr="0065641B" w:rsidRDefault="005C0303">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B22420">
          <w:rPr>
            <w:noProof/>
            <w:webHidden/>
          </w:rPr>
          <w:t>6</w:t>
        </w:r>
        <w:r w:rsidR="00DC42AF" w:rsidRPr="0065641B">
          <w:rPr>
            <w:noProof/>
            <w:webHidden/>
          </w:rPr>
          <w:fldChar w:fldCharType="end"/>
        </w:r>
      </w:hyperlink>
    </w:p>
    <w:p w14:paraId="0339B688" w14:textId="4E126FBD" w:rsidR="00DC42AF" w:rsidRPr="0065641B" w:rsidRDefault="005C0303">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B22420">
          <w:rPr>
            <w:noProof/>
            <w:webHidden/>
          </w:rPr>
          <w:t>6</w:t>
        </w:r>
        <w:r w:rsidR="00DC42AF" w:rsidRPr="0065641B">
          <w:rPr>
            <w:noProof/>
            <w:webHidden/>
          </w:rPr>
          <w:fldChar w:fldCharType="end"/>
        </w:r>
      </w:hyperlink>
    </w:p>
    <w:p w14:paraId="581C2279" w14:textId="72E1EF46" w:rsidR="00DC42AF" w:rsidRPr="0065641B" w:rsidRDefault="005C0303">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B22420">
          <w:rPr>
            <w:noProof/>
            <w:webHidden/>
          </w:rPr>
          <w:t>7</w:t>
        </w:r>
        <w:r w:rsidR="00DC42AF" w:rsidRPr="0065641B">
          <w:rPr>
            <w:noProof/>
            <w:webHidden/>
          </w:rPr>
          <w:fldChar w:fldCharType="end"/>
        </w:r>
      </w:hyperlink>
    </w:p>
    <w:p w14:paraId="4A635619" w14:textId="0B61C359" w:rsidR="00DC42AF" w:rsidRPr="0065641B" w:rsidRDefault="005C0303">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B22420">
          <w:rPr>
            <w:noProof/>
            <w:webHidden/>
          </w:rPr>
          <w:t>8</w:t>
        </w:r>
        <w:r w:rsidR="00DC42AF" w:rsidRPr="0065641B">
          <w:rPr>
            <w:noProof/>
            <w:webHidden/>
          </w:rPr>
          <w:fldChar w:fldCharType="end"/>
        </w:r>
      </w:hyperlink>
    </w:p>
    <w:p w14:paraId="5FEADB44" w14:textId="6200F065" w:rsidR="00DC42AF" w:rsidRPr="0065641B" w:rsidRDefault="005C0303">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B22420">
          <w:rPr>
            <w:noProof/>
            <w:webHidden/>
          </w:rPr>
          <w:t>9</w:t>
        </w:r>
        <w:r w:rsidR="00DC42AF" w:rsidRPr="0065641B">
          <w:rPr>
            <w:noProof/>
            <w:webHidden/>
          </w:rPr>
          <w:fldChar w:fldCharType="end"/>
        </w:r>
      </w:hyperlink>
    </w:p>
    <w:p w14:paraId="4FEAA5E8" w14:textId="7437A49D" w:rsidR="00DC42AF" w:rsidRPr="0065641B" w:rsidRDefault="005C0303">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B22420">
          <w:rPr>
            <w:noProof/>
            <w:webHidden/>
          </w:rPr>
          <w:t>11</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0" w:type="auto"/>
        <w:tblInd w:w="279" w:type="dxa"/>
        <w:tblLook w:val="04A0" w:firstRow="1" w:lastRow="0" w:firstColumn="1" w:lastColumn="0" w:noHBand="0" w:noVBand="1"/>
      </w:tblPr>
      <w:tblGrid>
        <w:gridCol w:w="851"/>
        <w:gridCol w:w="8079"/>
      </w:tblGrid>
      <w:tr w:rsidR="007D0C0D" w:rsidRPr="00B22420" w14:paraId="446CCDDC" w14:textId="77777777" w:rsidTr="00B22420">
        <w:tc>
          <w:tcPr>
            <w:tcW w:w="851" w:type="dxa"/>
          </w:tcPr>
          <w:p w14:paraId="503E2208" w14:textId="77777777" w:rsidR="007D0C0D" w:rsidRPr="00B22420" w:rsidRDefault="007D0C0D" w:rsidP="009B1426">
            <w:pPr>
              <w:tabs>
                <w:tab w:val="left" w:leader="underscore" w:pos="9322"/>
              </w:tabs>
              <w:jc w:val="both"/>
              <w:rPr>
                <w:b/>
              </w:rPr>
            </w:pPr>
            <w:r w:rsidRPr="00B22420">
              <w:rPr>
                <w:b/>
              </w:rPr>
              <w:t>Цель:</w:t>
            </w:r>
          </w:p>
        </w:tc>
        <w:tc>
          <w:tcPr>
            <w:tcW w:w="8079" w:type="dxa"/>
          </w:tcPr>
          <w:p w14:paraId="7AAC70B5" w14:textId="77777777" w:rsidR="007D0C0D" w:rsidRPr="00B22420" w:rsidRDefault="00C76457" w:rsidP="009B1426">
            <w:pPr>
              <w:tabs>
                <w:tab w:val="left" w:leader="underscore" w:pos="9322"/>
              </w:tabs>
              <w:jc w:val="both"/>
              <w:rPr>
                <w:b/>
              </w:rPr>
            </w:pPr>
            <w:r w:rsidRPr="00B22420">
              <w:t>Закрепление и углубление теоретической подготовки и профессиональных знаний, приобретаемых студентами в результате комплексного освоения ими видов профессиональной деятельности в области стратегического корпоративного управления</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(практика по профилю профессиональной деятельности)</w:t>
      </w:r>
      <w:r w:rsidRPr="0065641B">
        <w:rPr>
          <w:i/>
        </w:rPr>
        <w:t>.</w:t>
      </w:r>
    </w:p>
    <w:p w14:paraId="26E5C8BE" w14:textId="77777777" w:rsidR="00B22420" w:rsidRDefault="00B22420" w:rsidP="00E871D6">
      <w:pPr>
        <w:tabs>
          <w:tab w:val="left" w:leader="underscore" w:pos="9322"/>
        </w:tabs>
        <w:ind w:firstLine="709"/>
        <w:jc w:val="both"/>
        <w:rPr>
          <w:b/>
        </w:rPr>
      </w:pPr>
    </w:p>
    <w:p w14:paraId="569F2FFE" w14:textId="7948355E" w:rsidR="00C65FCC" w:rsidRPr="00B22420" w:rsidRDefault="00C65FCC" w:rsidP="00B22420">
      <w:pPr>
        <w:tabs>
          <w:tab w:val="left" w:leader="underscore" w:pos="9322"/>
        </w:tabs>
        <w:ind w:firstLine="709"/>
        <w:jc w:val="both"/>
      </w:pPr>
      <w:r w:rsidRPr="0065641B">
        <w:rPr>
          <w:b/>
        </w:rPr>
        <w:t>Форма проведения практики:</w:t>
      </w:r>
      <w:r w:rsidRPr="0065641B">
        <w:t xml:space="preserve"> </w:t>
      </w:r>
      <w:r w:rsidRPr="00B22420">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B22420">
        <w:t>й</w:t>
      </w:r>
      <w:r w:rsidRPr="00B22420">
        <w:t xml:space="preserve"> практики</w:t>
      </w:r>
      <w:r w:rsidR="00B22420" w:rsidRPr="00B22420">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308"/>
        <w:gridCol w:w="2455"/>
        <w:gridCol w:w="4581"/>
      </w:tblGrid>
      <w:tr w:rsidR="0065641B" w:rsidRPr="0065641B" w14:paraId="273DB8CE" w14:textId="77777777" w:rsidTr="00B22420">
        <w:trPr>
          <w:trHeight w:val="848"/>
        </w:trPr>
        <w:tc>
          <w:tcPr>
            <w:tcW w:w="958" w:type="pct"/>
            <w:hideMark/>
          </w:tcPr>
          <w:p w14:paraId="178CFD05" w14:textId="77777777" w:rsidR="006F0EAF" w:rsidRPr="00B22420" w:rsidRDefault="006F0EAF" w:rsidP="00B22420">
            <w:pPr>
              <w:widowControl w:val="0"/>
              <w:tabs>
                <w:tab w:val="left" w:pos="0"/>
              </w:tabs>
              <w:autoSpaceDE w:val="0"/>
              <w:autoSpaceDN w:val="0"/>
              <w:jc w:val="center"/>
              <w:rPr>
                <w:b/>
                <w:sz w:val="22"/>
                <w:szCs w:val="22"/>
                <w:lang w:bidi="ru-RU"/>
              </w:rPr>
            </w:pPr>
            <w:r w:rsidRPr="00B22420">
              <w:rPr>
                <w:b/>
                <w:sz w:val="22"/>
                <w:szCs w:val="22"/>
              </w:rPr>
              <w:t>Код и наименование компетенции выпускника</w:t>
            </w:r>
          </w:p>
        </w:tc>
        <w:tc>
          <w:tcPr>
            <w:tcW w:w="1031" w:type="pct"/>
            <w:hideMark/>
          </w:tcPr>
          <w:p w14:paraId="16D370D3" w14:textId="77777777" w:rsidR="006F0EAF" w:rsidRPr="00B22420" w:rsidRDefault="006F0EAF" w:rsidP="00B22420">
            <w:pPr>
              <w:widowControl w:val="0"/>
              <w:tabs>
                <w:tab w:val="left" w:pos="0"/>
              </w:tabs>
              <w:autoSpaceDE w:val="0"/>
              <w:autoSpaceDN w:val="0"/>
              <w:jc w:val="center"/>
              <w:rPr>
                <w:b/>
                <w:sz w:val="22"/>
                <w:szCs w:val="22"/>
                <w:lang w:bidi="ru-RU"/>
              </w:rPr>
            </w:pPr>
            <w:r w:rsidRPr="00B22420">
              <w:rPr>
                <w:b/>
                <w:sz w:val="22"/>
                <w:szCs w:val="22"/>
              </w:rPr>
              <w:t>Код и наименование индикаторов достижения компетенций</w:t>
            </w:r>
          </w:p>
        </w:tc>
        <w:tc>
          <w:tcPr>
            <w:tcW w:w="3011" w:type="pct"/>
            <w:hideMark/>
          </w:tcPr>
          <w:p w14:paraId="489C177C" w14:textId="77777777" w:rsidR="006F0EAF" w:rsidRPr="00B22420" w:rsidRDefault="006F0EAF" w:rsidP="009B1426">
            <w:pPr>
              <w:tabs>
                <w:tab w:val="left" w:pos="0"/>
              </w:tabs>
              <w:jc w:val="center"/>
              <w:rPr>
                <w:sz w:val="22"/>
                <w:szCs w:val="22"/>
                <w:lang w:bidi="ru-RU"/>
              </w:rPr>
            </w:pPr>
            <w:r w:rsidRPr="00B22420">
              <w:rPr>
                <w:b/>
                <w:sz w:val="22"/>
                <w:szCs w:val="22"/>
              </w:rPr>
              <w:t xml:space="preserve">Планируемые результаты обучения </w:t>
            </w:r>
            <w:r w:rsidR="00996FB3" w:rsidRPr="00B22420">
              <w:rPr>
                <w:b/>
                <w:sz w:val="22"/>
                <w:szCs w:val="22"/>
              </w:rPr>
              <w:t>при прохождении практики</w:t>
            </w:r>
          </w:p>
        </w:tc>
      </w:tr>
      <w:tr w:rsidR="00996FB3" w:rsidRPr="0065641B" w14:paraId="3BBEAA3A" w14:textId="77777777" w:rsidTr="00B22420">
        <w:trPr>
          <w:trHeight w:val="212"/>
        </w:trPr>
        <w:tc>
          <w:tcPr>
            <w:tcW w:w="958" w:type="pct"/>
          </w:tcPr>
          <w:p w14:paraId="05E778A0"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031" w:type="pct"/>
          </w:tcPr>
          <w:p w14:paraId="1C0B5809"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3011" w:type="pct"/>
          </w:tcPr>
          <w:p w14:paraId="7A3D16CD"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14A0A5E5" w14:textId="77777777" w:rsidR="00DC0676" w:rsidRPr="00B22420" w:rsidRDefault="00C76457" w:rsidP="00996FB3">
            <w:pPr>
              <w:autoSpaceDE w:val="0"/>
              <w:autoSpaceDN w:val="0"/>
              <w:adjustRightInd w:val="0"/>
              <w:jc w:val="both"/>
              <w:rPr>
                <w:sz w:val="22"/>
                <w:szCs w:val="22"/>
              </w:rPr>
            </w:pPr>
            <w:r w:rsidRPr="00B22420">
              <w:rPr>
                <w:sz w:val="22"/>
                <w:szCs w:val="22"/>
              </w:rPr>
              <w:t>обосновывать варианты решений поставленных задач, проводить критический анализ ситуаций, оценивать преимущества и недостатки выбранной стратегии действий</w:t>
            </w:r>
          </w:p>
          <w:p w14:paraId="7208F990" w14:textId="77777777" w:rsidR="00DC0676" w:rsidRPr="00B22420" w:rsidRDefault="00DC0676" w:rsidP="00996FB3">
            <w:pPr>
              <w:autoSpaceDE w:val="0"/>
              <w:autoSpaceDN w:val="0"/>
              <w:adjustRightInd w:val="0"/>
              <w:jc w:val="both"/>
              <w:rPr>
                <w:sz w:val="22"/>
                <w:szCs w:val="22"/>
              </w:rPr>
            </w:pPr>
          </w:p>
          <w:p w14:paraId="5D5AEC11"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041F319B" w14:textId="77777777" w:rsidR="00996FB3" w:rsidRPr="00B22420" w:rsidRDefault="00C76457" w:rsidP="00996FB3">
            <w:pPr>
              <w:autoSpaceDE w:val="0"/>
              <w:autoSpaceDN w:val="0"/>
              <w:adjustRightInd w:val="0"/>
              <w:jc w:val="both"/>
              <w:rPr>
                <w:sz w:val="22"/>
                <w:szCs w:val="22"/>
              </w:rPr>
            </w:pPr>
            <w:r w:rsidRPr="00B22420">
              <w:rPr>
                <w:sz w:val="22"/>
                <w:szCs w:val="22"/>
              </w:rPr>
              <w:t>навыками разработки решений стратегических задач на основе проведения критического анализа и с учетом системного подхода</w:t>
            </w:r>
          </w:p>
        </w:tc>
      </w:tr>
      <w:tr w:rsidR="00996FB3" w:rsidRPr="0065641B" w14:paraId="14D943CB" w14:textId="77777777" w:rsidTr="00B22420">
        <w:trPr>
          <w:trHeight w:val="212"/>
        </w:trPr>
        <w:tc>
          <w:tcPr>
            <w:tcW w:w="958" w:type="pct"/>
          </w:tcPr>
          <w:p w14:paraId="459D0443"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УК-2 - Способен управлять проектом на всех этапах его жизненного цикла</w:t>
            </w:r>
          </w:p>
        </w:tc>
        <w:tc>
          <w:tcPr>
            <w:tcW w:w="1031" w:type="pct"/>
          </w:tcPr>
          <w:p w14:paraId="33B96272"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3011" w:type="pct"/>
          </w:tcPr>
          <w:p w14:paraId="6A027CAA"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7C756A02" w14:textId="77777777" w:rsidR="00DC0676" w:rsidRPr="00B22420" w:rsidRDefault="00C76457" w:rsidP="00996FB3">
            <w:pPr>
              <w:autoSpaceDE w:val="0"/>
              <w:autoSpaceDN w:val="0"/>
              <w:adjustRightInd w:val="0"/>
              <w:jc w:val="both"/>
              <w:rPr>
                <w:sz w:val="22"/>
                <w:szCs w:val="22"/>
              </w:rPr>
            </w:pPr>
            <w:r w:rsidRPr="00B22420">
              <w:rPr>
                <w:sz w:val="22"/>
                <w:szCs w:val="22"/>
              </w:rPr>
              <w:t>определять этапы жизненного цикла проекта и формировать оптимальные управленческие решения по решению поставленных задач</w:t>
            </w:r>
          </w:p>
          <w:p w14:paraId="3F70D047" w14:textId="77777777" w:rsidR="00DC0676" w:rsidRPr="00B22420" w:rsidRDefault="00DC0676" w:rsidP="00996FB3">
            <w:pPr>
              <w:autoSpaceDE w:val="0"/>
              <w:autoSpaceDN w:val="0"/>
              <w:adjustRightInd w:val="0"/>
              <w:jc w:val="both"/>
              <w:rPr>
                <w:sz w:val="22"/>
                <w:szCs w:val="22"/>
              </w:rPr>
            </w:pPr>
          </w:p>
          <w:p w14:paraId="65F30FE1"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38B50DA5" w14:textId="77777777" w:rsidR="00996FB3" w:rsidRPr="00B22420" w:rsidRDefault="00C76457" w:rsidP="00996FB3">
            <w:pPr>
              <w:autoSpaceDE w:val="0"/>
              <w:autoSpaceDN w:val="0"/>
              <w:adjustRightInd w:val="0"/>
              <w:jc w:val="both"/>
              <w:rPr>
                <w:sz w:val="22"/>
                <w:szCs w:val="22"/>
              </w:rPr>
            </w:pPr>
            <w:r w:rsidRPr="00B22420">
              <w:rPr>
                <w:sz w:val="22"/>
                <w:szCs w:val="22"/>
              </w:rPr>
              <w:t>методами проектирования оптимальных способов решения поставленных задач, навыками управления ресурсным обеспечением проекта на всех этапах его жизненного цикла</w:t>
            </w:r>
          </w:p>
        </w:tc>
      </w:tr>
      <w:tr w:rsidR="00996FB3" w:rsidRPr="0065641B" w14:paraId="29DF5960" w14:textId="77777777" w:rsidTr="00B22420">
        <w:trPr>
          <w:trHeight w:val="212"/>
        </w:trPr>
        <w:tc>
          <w:tcPr>
            <w:tcW w:w="958" w:type="pct"/>
          </w:tcPr>
          <w:p w14:paraId="6E0A75D8"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 xml:space="preserve">УК-3 - Способен организовывать и руководить работой команды, </w:t>
            </w:r>
            <w:r w:rsidRPr="00B22420">
              <w:rPr>
                <w:sz w:val="22"/>
                <w:szCs w:val="22"/>
              </w:rPr>
              <w:lastRenderedPageBreak/>
              <w:t>вырабатывая командную стратегию для достижения поставленной цели</w:t>
            </w:r>
          </w:p>
        </w:tc>
        <w:tc>
          <w:tcPr>
            <w:tcW w:w="1031" w:type="pct"/>
          </w:tcPr>
          <w:p w14:paraId="2257DB07"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lastRenderedPageBreak/>
              <w:t xml:space="preserve">УК-3.2 - Понимает специфику организационной культуры и общения с </w:t>
            </w:r>
            <w:r w:rsidRPr="00B22420">
              <w:rPr>
                <w:sz w:val="22"/>
                <w:szCs w:val="22"/>
              </w:rPr>
              <w:lastRenderedPageBreak/>
              <w:t>руководством, умеет мотивировать отдельных сотрудников и коллектив в целом</w:t>
            </w:r>
          </w:p>
        </w:tc>
        <w:tc>
          <w:tcPr>
            <w:tcW w:w="3011" w:type="pct"/>
          </w:tcPr>
          <w:p w14:paraId="1F7A6340" w14:textId="77777777" w:rsidR="00DC0676" w:rsidRPr="00B22420" w:rsidRDefault="00DC0676" w:rsidP="00996FB3">
            <w:pPr>
              <w:autoSpaceDE w:val="0"/>
              <w:autoSpaceDN w:val="0"/>
              <w:adjustRightInd w:val="0"/>
              <w:jc w:val="both"/>
              <w:rPr>
                <w:sz w:val="22"/>
                <w:szCs w:val="22"/>
              </w:rPr>
            </w:pPr>
            <w:r w:rsidRPr="00B22420">
              <w:rPr>
                <w:sz w:val="22"/>
                <w:szCs w:val="22"/>
              </w:rPr>
              <w:lastRenderedPageBreak/>
              <w:t>Уметь:</w:t>
            </w:r>
          </w:p>
          <w:p w14:paraId="353E6192" w14:textId="77777777" w:rsidR="00DC0676" w:rsidRPr="00B22420" w:rsidRDefault="00C76457" w:rsidP="00996FB3">
            <w:pPr>
              <w:autoSpaceDE w:val="0"/>
              <w:autoSpaceDN w:val="0"/>
              <w:adjustRightInd w:val="0"/>
              <w:jc w:val="both"/>
              <w:rPr>
                <w:sz w:val="22"/>
                <w:szCs w:val="22"/>
              </w:rPr>
            </w:pPr>
            <w:r w:rsidRPr="00B22420">
              <w:rPr>
                <w:sz w:val="22"/>
                <w:szCs w:val="22"/>
              </w:rPr>
              <w:t>разрабатывать командную стратегию организации на основе учета специфики организационной культуры</w:t>
            </w:r>
          </w:p>
          <w:p w14:paraId="3531F748" w14:textId="77777777" w:rsidR="00DC0676" w:rsidRPr="00B22420" w:rsidRDefault="00DC0676" w:rsidP="00996FB3">
            <w:pPr>
              <w:autoSpaceDE w:val="0"/>
              <w:autoSpaceDN w:val="0"/>
              <w:adjustRightInd w:val="0"/>
              <w:jc w:val="both"/>
              <w:rPr>
                <w:sz w:val="22"/>
                <w:szCs w:val="22"/>
              </w:rPr>
            </w:pPr>
          </w:p>
          <w:p w14:paraId="58E84572"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61BCFA68" w14:textId="77777777" w:rsidR="00996FB3" w:rsidRPr="00B22420" w:rsidRDefault="00C76457" w:rsidP="00996FB3">
            <w:pPr>
              <w:autoSpaceDE w:val="0"/>
              <w:autoSpaceDN w:val="0"/>
              <w:adjustRightInd w:val="0"/>
              <w:jc w:val="both"/>
              <w:rPr>
                <w:sz w:val="22"/>
                <w:szCs w:val="22"/>
              </w:rPr>
            </w:pPr>
            <w:r w:rsidRPr="00B22420">
              <w:rPr>
                <w:sz w:val="22"/>
                <w:szCs w:val="22"/>
              </w:rPr>
              <w:t>навыками формирования коллектива, организации командной работы, систем мотивации на основе выработанной командной стратегии</w:t>
            </w:r>
          </w:p>
        </w:tc>
      </w:tr>
      <w:tr w:rsidR="00996FB3" w:rsidRPr="0065641B" w14:paraId="6FED4524" w14:textId="77777777" w:rsidTr="00B22420">
        <w:trPr>
          <w:trHeight w:val="212"/>
        </w:trPr>
        <w:tc>
          <w:tcPr>
            <w:tcW w:w="958" w:type="pct"/>
          </w:tcPr>
          <w:p w14:paraId="7874796F"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lastRenderedPageBreak/>
              <w:t>УК-4 - Способен применять современные коммуникативные технологии, в том числе на иностранном(</w:t>
            </w:r>
            <w:proofErr w:type="spellStart"/>
            <w:r w:rsidRPr="00B22420">
              <w:rPr>
                <w:sz w:val="22"/>
                <w:szCs w:val="22"/>
              </w:rPr>
              <w:t>ых</w:t>
            </w:r>
            <w:proofErr w:type="spellEnd"/>
            <w:r w:rsidRPr="00B22420">
              <w:rPr>
                <w:sz w:val="22"/>
                <w:szCs w:val="22"/>
              </w:rPr>
              <w:t>) языке(ах), для академического и профессионального взаимодействия</w:t>
            </w:r>
          </w:p>
        </w:tc>
        <w:tc>
          <w:tcPr>
            <w:tcW w:w="1031" w:type="pct"/>
          </w:tcPr>
          <w:p w14:paraId="2763950E"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B22420">
              <w:rPr>
                <w:sz w:val="22"/>
                <w:szCs w:val="22"/>
              </w:rPr>
              <w:t>ых</w:t>
            </w:r>
            <w:proofErr w:type="spellEnd"/>
            <w:r w:rsidRPr="00B22420">
              <w:rPr>
                <w:sz w:val="22"/>
                <w:szCs w:val="22"/>
              </w:rPr>
              <w:t>) языке(ах), в том числе с использованием информационных технологий</w:t>
            </w:r>
          </w:p>
        </w:tc>
        <w:tc>
          <w:tcPr>
            <w:tcW w:w="3011" w:type="pct"/>
          </w:tcPr>
          <w:p w14:paraId="325A0C22"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43904A38" w14:textId="77777777" w:rsidR="00DC0676" w:rsidRPr="00B22420" w:rsidRDefault="00C76457" w:rsidP="00996FB3">
            <w:pPr>
              <w:autoSpaceDE w:val="0"/>
              <w:autoSpaceDN w:val="0"/>
              <w:adjustRightInd w:val="0"/>
              <w:jc w:val="both"/>
              <w:rPr>
                <w:sz w:val="22"/>
                <w:szCs w:val="22"/>
              </w:rPr>
            </w:pPr>
            <w:r w:rsidRPr="00B22420">
              <w:rPr>
                <w:sz w:val="22"/>
                <w:szCs w:val="22"/>
              </w:rPr>
              <w:t>анализировать и критически оценивать деловую информацию как на государственном, так и на иностранном(</w:t>
            </w:r>
            <w:proofErr w:type="spellStart"/>
            <w:r w:rsidRPr="00B22420">
              <w:rPr>
                <w:sz w:val="22"/>
                <w:szCs w:val="22"/>
              </w:rPr>
              <w:t>ых</w:t>
            </w:r>
            <w:proofErr w:type="spellEnd"/>
            <w:r w:rsidRPr="00B22420">
              <w:rPr>
                <w:sz w:val="22"/>
                <w:szCs w:val="22"/>
              </w:rPr>
              <w:t xml:space="preserve">) языке(ах), выполнять перевод профессиональных текстов, вести деловую </w:t>
            </w:r>
            <w:proofErr w:type="gramStart"/>
            <w:r w:rsidRPr="00B22420">
              <w:rPr>
                <w:sz w:val="22"/>
                <w:szCs w:val="22"/>
              </w:rPr>
              <w:t>переписку,  в</w:t>
            </w:r>
            <w:proofErr w:type="gramEnd"/>
            <w:r w:rsidRPr="00B22420">
              <w:rPr>
                <w:sz w:val="22"/>
                <w:szCs w:val="22"/>
              </w:rPr>
              <w:t xml:space="preserve"> том числе с применением информационных технологий, осуществлять устное общение.</w:t>
            </w:r>
          </w:p>
          <w:p w14:paraId="117C2654" w14:textId="77777777" w:rsidR="00DC0676" w:rsidRPr="00B22420" w:rsidRDefault="00DC0676" w:rsidP="00996FB3">
            <w:pPr>
              <w:autoSpaceDE w:val="0"/>
              <w:autoSpaceDN w:val="0"/>
              <w:adjustRightInd w:val="0"/>
              <w:jc w:val="both"/>
              <w:rPr>
                <w:sz w:val="22"/>
                <w:szCs w:val="22"/>
              </w:rPr>
            </w:pPr>
          </w:p>
          <w:p w14:paraId="62D73224"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74AB6FCF" w14:textId="77777777" w:rsidR="00996FB3" w:rsidRPr="00B22420" w:rsidRDefault="00C76457" w:rsidP="00996FB3">
            <w:pPr>
              <w:autoSpaceDE w:val="0"/>
              <w:autoSpaceDN w:val="0"/>
              <w:adjustRightInd w:val="0"/>
              <w:jc w:val="both"/>
              <w:rPr>
                <w:sz w:val="22"/>
                <w:szCs w:val="22"/>
              </w:rPr>
            </w:pPr>
            <w:r w:rsidRPr="00B22420">
              <w:rPr>
                <w:sz w:val="22"/>
                <w:szCs w:val="22"/>
              </w:rPr>
              <w:t>навыками применения коммуникативных технологий для обеспечения академического и профессионального взаимодействия на государственном и иностранном(</w:t>
            </w:r>
            <w:proofErr w:type="spellStart"/>
            <w:r w:rsidRPr="00B22420">
              <w:rPr>
                <w:sz w:val="22"/>
                <w:szCs w:val="22"/>
              </w:rPr>
              <w:t>ых</w:t>
            </w:r>
            <w:proofErr w:type="spellEnd"/>
            <w:r w:rsidRPr="00B22420">
              <w:rPr>
                <w:sz w:val="22"/>
                <w:szCs w:val="22"/>
              </w:rPr>
              <w:t>) языках</w:t>
            </w:r>
          </w:p>
        </w:tc>
      </w:tr>
      <w:tr w:rsidR="00996FB3" w:rsidRPr="0065641B" w14:paraId="2E0CF025" w14:textId="77777777" w:rsidTr="00B22420">
        <w:trPr>
          <w:trHeight w:val="212"/>
        </w:trPr>
        <w:tc>
          <w:tcPr>
            <w:tcW w:w="958" w:type="pct"/>
          </w:tcPr>
          <w:p w14:paraId="7C827A79"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УК-5 - Способен анализировать и учитывать разнообразие культур в процессе межкультурного взаимодействия</w:t>
            </w:r>
          </w:p>
        </w:tc>
        <w:tc>
          <w:tcPr>
            <w:tcW w:w="1031" w:type="pct"/>
          </w:tcPr>
          <w:p w14:paraId="34A172A9"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3011" w:type="pct"/>
          </w:tcPr>
          <w:p w14:paraId="30B89D3B"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3574A020" w14:textId="77777777" w:rsidR="00DC0676" w:rsidRPr="00B22420" w:rsidRDefault="00C76457" w:rsidP="00996FB3">
            <w:pPr>
              <w:autoSpaceDE w:val="0"/>
              <w:autoSpaceDN w:val="0"/>
              <w:adjustRightInd w:val="0"/>
              <w:jc w:val="both"/>
              <w:rPr>
                <w:sz w:val="22"/>
                <w:szCs w:val="22"/>
              </w:rPr>
            </w:pPr>
            <w:r w:rsidRPr="00B22420">
              <w:rPr>
                <w:sz w:val="22"/>
                <w:szCs w:val="22"/>
              </w:rPr>
              <w:t>решать профессиональные задачи, выстраивать социальную интеграцию внутри коллектива на основе управления межкультурным взаимодействием</w:t>
            </w:r>
          </w:p>
          <w:p w14:paraId="562FAE3C" w14:textId="77777777" w:rsidR="00DC0676" w:rsidRPr="00B22420" w:rsidRDefault="00DC0676" w:rsidP="00996FB3">
            <w:pPr>
              <w:autoSpaceDE w:val="0"/>
              <w:autoSpaceDN w:val="0"/>
              <w:adjustRightInd w:val="0"/>
              <w:jc w:val="both"/>
              <w:rPr>
                <w:sz w:val="22"/>
                <w:szCs w:val="22"/>
              </w:rPr>
            </w:pPr>
          </w:p>
          <w:p w14:paraId="7E3C1FFD"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63A43833" w14:textId="77777777" w:rsidR="00996FB3" w:rsidRPr="00B22420" w:rsidRDefault="00C76457" w:rsidP="00996FB3">
            <w:pPr>
              <w:autoSpaceDE w:val="0"/>
              <w:autoSpaceDN w:val="0"/>
              <w:adjustRightInd w:val="0"/>
              <w:jc w:val="both"/>
              <w:rPr>
                <w:sz w:val="22"/>
                <w:szCs w:val="22"/>
              </w:rPr>
            </w:pPr>
            <w:r w:rsidRPr="00B22420">
              <w:rPr>
                <w:sz w:val="22"/>
                <w:szCs w:val="22"/>
              </w:rPr>
              <w:t>навыками организации конструктивного межкультурного взаимодействия на основе учета социокультурных особенностей</w:t>
            </w:r>
          </w:p>
        </w:tc>
      </w:tr>
      <w:tr w:rsidR="00996FB3" w:rsidRPr="0065641B" w14:paraId="5E7FAFFE" w14:textId="77777777" w:rsidTr="00B22420">
        <w:trPr>
          <w:trHeight w:val="212"/>
        </w:trPr>
        <w:tc>
          <w:tcPr>
            <w:tcW w:w="958" w:type="pct"/>
          </w:tcPr>
          <w:p w14:paraId="41657955"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УК-6 - Способен определять и реализовывать приоритеты собственной деятельности и способы ее совершенствования на основе самооценки</w:t>
            </w:r>
          </w:p>
        </w:tc>
        <w:tc>
          <w:tcPr>
            <w:tcW w:w="1031" w:type="pct"/>
          </w:tcPr>
          <w:p w14:paraId="6CEC8D10"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3011" w:type="pct"/>
          </w:tcPr>
          <w:p w14:paraId="49ECA130"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15F08A61" w14:textId="77777777" w:rsidR="00DC0676" w:rsidRPr="00B22420" w:rsidRDefault="00C76457" w:rsidP="00996FB3">
            <w:pPr>
              <w:autoSpaceDE w:val="0"/>
              <w:autoSpaceDN w:val="0"/>
              <w:adjustRightInd w:val="0"/>
              <w:jc w:val="both"/>
              <w:rPr>
                <w:sz w:val="22"/>
                <w:szCs w:val="22"/>
              </w:rPr>
            </w:pPr>
            <w:r w:rsidRPr="00B22420">
              <w:rPr>
                <w:sz w:val="22"/>
                <w:szCs w:val="22"/>
              </w:rPr>
              <w:t>определять и реализовывать приоритеты собственной деятельности, используя предоставляемые возможности для приобретения новых знаний и навыков</w:t>
            </w:r>
          </w:p>
          <w:p w14:paraId="47F959D8" w14:textId="77777777" w:rsidR="00DC0676" w:rsidRPr="00B22420" w:rsidRDefault="00DC0676" w:rsidP="00996FB3">
            <w:pPr>
              <w:autoSpaceDE w:val="0"/>
              <w:autoSpaceDN w:val="0"/>
              <w:adjustRightInd w:val="0"/>
              <w:jc w:val="both"/>
              <w:rPr>
                <w:sz w:val="22"/>
                <w:szCs w:val="22"/>
              </w:rPr>
            </w:pPr>
          </w:p>
          <w:p w14:paraId="43F88C8F"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313522AA" w14:textId="77777777" w:rsidR="00996FB3" w:rsidRPr="00B22420" w:rsidRDefault="00C76457" w:rsidP="00996FB3">
            <w:pPr>
              <w:autoSpaceDE w:val="0"/>
              <w:autoSpaceDN w:val="0"/>
              <w:adjustRightInd w:val="0"/>
              <w:jc w:val="both"/>
              <w:rPr>
                <w:sz w:val="22"/>
                <w:szCs w:val="22"/>
              </w:rPr>
            </w:pPr>
            <w:r w:rsidRPr="00B22420">
              <w:rPr>
                <w:sz w:val="22"/>
                <w:szCs w:val="22"/>
              </w:rPr>
              <w:t>методами проведения самооценки и определения траектории саморазвития, навыками формирования и реализации намеченных целей деятельности с учетом условий, средств, личностных возможностей, временной перспективы развития и требований рынка труда</w:t>
            </w:r>
          </w:p>
        </w:tc>
      </w:tr>
      <w:tr w:rsidR="00996FB3" w:rsidRPr="0065641B" w14:paraId="039DCEAF" w14:textId="77777777" w:rsidTr="00B22420">
        <w:trPr>
          <w:trHeight w:val="212"/>
        </w:trPr>
        <w:tc>
          <w:tcPr>
            <w:tcW w:w="958" w:type="pct"/>
          </w:tcPr>
          <w:p w14:paraId="638F941D"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ПК-1 - Способен использовать количественные и качественные методы для проведения анализа данных при разработке стратегии развития организации</w:t>
            </w:r>
          </w:p>
        </w:tc>
        <w:tc>
          <w:tcPr>
            <w:tcW w:w="1031" w:type="pct"/>
          </w:tcPr>
          <w:p w14:paraId="16320B82"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 xml:space="preserve">ПК-1.3 - Обеспечивает входные данные для принятия обоснованных управленческих решений стратегического развития на основе </w:t>
            </w:r>
            <w:r w:rsidRPr="00B22420">
              <w:rPr>
                <w:sz w:val="22"/>
                <w:szCs w:val="22"/>
              </w:rPr>
              <w:lastRenderedPageBreak/>
              <w:t>анализа внутрикорпоративных бизнес-процессов и динамики развития внешней среды организации</w:t>
            </w:r>
          </w:p>
        </w:tc>
        <w:tc>
          <w:tcPr>
            <w:tcW w:w="3011" w:type="pct"/>
          </w:tcPr>
          <w:p w14:paraId="18F02E14" w14:textId="77777777" w:rsidR="00DC0676" w:rsidRPr="00B22420" w:rsidRDefault="00DC0676" w:rsidP="00996FB3">
            <w:pPr>
              <w:autoSpaceDE w:val="0"/>
              <w:autoSpaceDN w:val="0"/>
              <w:adjustRightInd w:val="0"/>
              <w:jc w:val="both"/>
              <w:rPr>
                <w:sz w:val="22"/>
                <w:szCs w:val="22"/>
              </w:rPr>
            </w:pPr>
            <w:r w:rsidRPr="00B22420">
              <w:rPr>
                <w:sz w:val="22"/>
                <w:szCs w:val="22"/>
              </w:rPr>
              <w:lastRenderedPageBreak/>
              <w:t>Уметь:</w:t>
            </w:r>
          </w:p>
          <w:p w14:paraId="5124836A" w14:textId="77777777" w:rsidR="00DC0676" w:rsidRPr="00B22420" w:rsidRDefault="00C76457" w:rsidP="00996FB3">
            <w:pPr>
              <w:autoSpaceDE w:val="0"/>
              <w:autoSpaceDN w:val="0"/>
              <w:adjustRightInd w:val="0"/>
              <w:jc w:val="both"/>
              <w:rPr>
                <w:sz w:val="22"/>
                <w:szCs w:val="22"/>
              </w:rPr>
            </w:pPr>
            <w:r w:rsidRPr="00B22420">
              <w:rPr>
                <w:sz w:val="22"/>
                <w:szCs w:val="22"/>
              </w:rPr>
              <w:t>осуществлять анализ внутренней и внешней среды организации, бизнес-процессы организации на основе количественных и качественных методов для разработки стратегии развития</w:t>
            </w:r>
          </w:p>
          <w:p w14:paraId="00D264A9" w14:textId="77777777" w:rsidR="00DC0676" w:rsidRPr="00B22420" w:rsidRDefault="00DC0676" w:rsidP="00996FB3">
            <w:pPr>
              <w:autoSpaceDE w:val="0"/>
              <w:autoSpaceDN w:val="0"/>
              <w:adjustRightInd w:val="0"/>
              <w:jc w:val="both"/>
              <w:rPr>
                <w:sz w:val="22"/>
                <w:szCs w:val="22"/>
              </w:rPr>
            </w:pPr>
          </w:p>
          <w:p w14:paraId="226C5122"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30713F80" w14:textId="77777777" w:rsidR="00996FB3" w:rsidRPr="00B22420" w:rsidRDefault="00C76457" w:rsidP="00996FB3">
            <w:pPr>
              <w:autoSpaceDE w:val="0"/>
              <w:autoSpaceDN w:val="0"/>
              <w:adjustRightInd w:val="0"/>
              <w:jc w:val="both"/>
              <w:rPr>
                <w:sz w:val="22"/>
                <w:szCs w:val="22"/>
              </w:rPr>
            </w:pPr>
            <w:r w:rsidRPr="00B22420">
              <w:rPr>
                <w:sz w:val="22"/>
                <w:szCs w:val="22"/>
              </w:rPr>
              <w:lastRenderedPageBreak/>
              <w:t>навыками проведения количественного и качественного анализа информации для принятия обоснованных управленческих решений в области стратегического развития</w:t>
            </w:r>
          </w:p>
        </w:tc>
      </w:tr>
      <w:tr w:rsidR="00996FB3" w:rsidRPr="0065641B" w14:paraId="671EC9B4" w14:textId="77777777" w:rsidTr="00B22420">
        <w:trPr>
          <w:trHeight w:val="212"/>
        </w:trPr>
        <w:tc>
          <w:tcPr>
            <w:tcW w:w="958" w:type="pct"/>
          </w:tcPr>
          <w:p w14:paraId="580EBBBE"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lastRenderedPageBreak/>
              <w:t>ПК-2 - Способен использовать методы экономического и стратегического анализа поведения экономических агентов и рынков в глобальной среде</w:t>
            </w:r>
          </w:p>
        </w:tc>
        <w:tc>
          <w:tcPr>
            <w:tcW w:w="1031" w:type="pct"/>
          </w:tcPr>
          <w:p w14:paraId="48455801"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ПК-2.2 - Проводит комплексный анализ отраслевого рынка, потребителей товаров, поставщиков сырья, материалов и комплектующих, конкурирующих корпораций-производителей продуктов-заменителей, оценивает уровень конкурентной борьбы, составляет обзоры конъюнктуры рынка</w:t>
            </w:r>
          </w:p>
        </w:tc>
        <w:tc>
          <w:tcPr>
            <w:tcW w:w="3011" w:type="pct"/>
          </w:tcPr>
          <w:p w14:paraId="274DF6C8"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75011704" w14:textId="77777777" w:rsidR="00DC0676" w:rsidRPr="00B22420" w:rsidRDefault="00C76457" w:rsidP="00996FB3">
            <w:pPr>
              <w:autoSpaceDE w:val="0"/>
              <w:autoSpaceDN w:val="0"/>
              <w:adjustRightInd w:val="0"/>
              <w:jc w:val="both"/>
              <w:rPr>
                <w:sz w:val="22"/>
                <w:szCs w:val="22"/>
              </w:rPr>
            </w:pPr>
            <w:r w:rsidRPr="00B22420">
              <w:rPr>
                <w:sz w:val="22"/>
                <w:szCs w:val="22"/>
              </w:rPr>
              <w:t xml:space="preserve">формировать обзор конъюнктуры рынка и оценивать уровень конкурентной борьбы на основе применения методов экономического и стратегического анализа поведения экономических агентов и </w:t>
            </w:r>
            <w:proofErr w:type="gramStart"/>
            <w:r w:rsidRPr="00B22420">
              <w:rPr>
                <w:sz w:val="22"/>
                <w:szCs w:val="22"/>
              </w:rPr>
              <w:t>рынков  в</w:t>
            </w:r>
            <w:proofErr w:type="gramEnd"/>
            <w:r w:rsidRPr="00B22420">
              <w:rPr>
                <w:sz w:val="22"/>
                <w:szCs w:val="22"/>
              </w:rPr>
              <w:t xml:space="preserve"> глобальной среде</w:t>
            </w:r>
          </w:p>
          <w:p w14:paraId="45DCF5C8" w14:textId="77777777" w:rsidR="00DC0676" w:rsidRPr="00B22420" w:rsidRDefault="00DC0676" w:rsidP="00996FB3">
            <w:pPr>
              <w:autoSpaceDE w:val="0"/>
              <w:autoSpaceDN w:val="0"/>
              <w:adjustRightInd w:val="0"/>
              <w:jc w:val="both"/>
              <w:rPr>
                <w:sz w:val="22"/>
                <w:szCs w:val="22"/>
              </w:rPr>
            </w:pPr>
          </w:p>
          <w:p w14:paraId="48CDC0EA"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186EA0E2" w14:textId="77777777" w:rsidR="00996FB3" w:rsidRPr="00B22420" w:rsidRDefault="00C76457" w:rsidP="00996FB3">
            <w:pPr>
              <w:autoSpaceDE w:val="0"/>
              <w:autoSpaceDN w:val="0"/>
              <w:adjustRightInd w:val="0"/>
              <w:jc w:val="both"/>
              <w:rPr>
                <w:sz w:val="22"/>
                <w:szCs w:val="22"/>
              </w:rPr>
            </w:pPr>
            <w:r w:rsidRPr="00B22420">
              <w:rPr>
                <w:sz w:val="22"/>
                <w:szCs w:val="22"/>
              </w:rPr>
              <w:t>навыками разработки стратегии развития на основе проведения комплексного анализа отраслевого рынка, потребителей товаров, поставщиков сырья, материалов и -заменителей комплектующих, конкурирующих корпораций-производителей продуктов</w:t>
            </w:r>
          </w:p>
        </w:tc>
      </w:tr>
      <w:tr w:rsidR="00996FB3" w:rsidRPr="0065641B" w14:paraId="7B7A5D66" w14:textId="77777777" w:rsidTr="00B22420">
        <w:trPr>
          <w:trHeight w:val="212"/>
        </w:trPr>
        <w:tc>
          <w:tcPr>
            <w:tcW w:w="958" w:type="pct"/>
          </w:tcPr>
          <w:p w14:paraId="232CE2CC"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ПК-3 - Способен управлять организациями, подразделениями, группами (командами) сотрудников, проектами и сетями</w:t>
            </w:r>
          </w:p>
        </w:tc>
        <w:tc>
          <w:tcPr>
            <w:tcW w:w="1031" w:type="pct"/>
          </w:tcPr>
          <w:p w14:paraId="0C056EE0"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ПК-3.2 - Осуществляет руководство проектом корпорации, координацию и направление совместной деятельности работников, согласование наиболее сложных вопросов реализации проектов</w:t>
            </w:r>
          </w:p>
        </w:tc>
        <w:tc>
          <w:tcPr>
            <w:tcW w:w="3011" w:type="pct"/>
          </w:tcPr>
          <w:p w14:paraId="477B34C8"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5CA4B957" w14:textId="77777777" w:rsidR="00DC0676" w:rsidRPr="00B22420" w:rsidRDefault="00C76457" w:rsidP="00996FB3">
            <w:pPr>
              <w:autoSpaceDE w:val="0"/>
              <w:autoSpaceDN w:val="0"/>
              <w:adjustRightInd w:val="0"/>
              <w:jc w:val="both"/>
              <w:rPr>
                <w:sz w:val="22"/>
                <w:szCs w:val="22"/>
              </w:rPr>
            </w:pPr>
            <w:r w:rsidRPr="00B22420">
              <w:rPr>
                <w:sz w:val="22"/>
                <w:szCs w:val="22"/>
              </w:rPr>
              <w:t>управлять организациями, подразделениями, группами (командами) сотрудников при подготовке и реализации проектов</w:t>
            </w:r>
          </w:p>
          <w:p w14:paraId="366732E5" w14:textId="77777777" w:rsidR="00DC0676" w:rsidRPr="00B22420" w:rsidRDefault="00DC0676" w:rsidP="00996FB3">
            <w:pPr>
              <w:autoSpaceDE w:val="0"/>
              <w:autoSpaceDN w:val="0"/>
              <w:adjustRightInd w:val="0"/>
              <w:jc w:val="both"/>
              <w:rPr>
                <w:sz w:val="22"/>
                <w:szCs w:val="22"/>
              </w:rPr>
            </w:pPr>
          </w:p>
          <w:p w14:paraId="3018516F"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2FF8EBC9" w14:textId="77777777" w:rsidR="00996FB3" w:rsidRPr="00B22420" w:rsidRDefault="00C76457" w:rsidP="00996FB3">
            <w:pPr>
              <w:autoSpaceDE w:val="0"/>
              <w:autoSpaceDN w:val="0"/>
              <w:adjustRightInd w:val="0"/>
              <w:jc w:val="both"/>
              <w:rPr>
                <w:sz w:val="22"/>
                <w:szCs w:val="22"/>
              </w:rPr>
            </w:pPr>
            <w:r w:rsidRPr="00B22420">
              <w:rPr>
                <w:sz w:val="22"/>
                <w:szCs w:val="22"/>
              </w:rPr>
              <w:t>методами построения эффективных систем взаимодействия на основе координации и согласования видов работ при руководстве проектами корпораций и организации совместной деятельности работников</w:t>
            </w:r>
          </w:p>
        </w:tc>
      </w:tr>
      <w:tr w:rsidR="00996FB3" w:rsidRPr="0065641B" w14:paraId="48E50F42" w14:textId="77777777" w:rsidTr="00B22420">
        <w:trPr>
          <w:trHeight w:val="212"/>
        </w:trPr>
        <w:tc>
          <w:tcPr>
            <w:tcW w:w="958" w:type="pct"/>
          </w:tcPr>
          <w:p w14:paraId="205E1B07"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ПК-4 - Способен разрабатывать корпоративную стратегию, программы организационного развития и изменений, и обеспечивать их реализацию</w:t>
            </w:r>
          </w:p>
        </w:tc>
        <w:tc>
          <w:tcPr>
            <w:tcW w:w="1031" w:type="pct"/>
          </w:tcPr>
          <w:p w14:paraId="553F9084"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ПК-4.2 - Разрабатывает программы организационных изменений и стратегические мероприятия по совершенствованию процессов корпорации</w:t>
            </w:r>
          </w:p>
        </w:tc>
        <w:tc>
          <w:tcPr>
            <w:tcW w:w="3011" w:type="pct"/>
          </w:tcPr>
          <w:p w14:paraId="029801E8"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1C8DCE9E" w14:textId="77777777" w:rsidR="00DC0676" w:rsidRPr="00B22420" w:rsidRDefault="00C76457" w:rsidP="00996FB3">
            <w:pPr>
              <w:autoSpaceDE w:val="0"/>
              <w:autoSpaceDN w:val="0"/>
              <w:adjustRightInd w:val="0"/>
              <w:jc w:val="both"/>
              <w:rPr>
                <w:sz w:val="22"/>
                <w:szCs w:val="22"/>
              </w:rPr>
            </w:pPr>
            <w:r w:rsidRPr="00B22420">
              <w:rPr>
                <w:sz w:val="22"/>
                <w:szCs w:val="22"/>
              </w:rPr>
              <w:t>разрабатывать корпоративную стратегию и программу стратегических мероприятий по совершенствованию процессов корпорации</w:t>
            </w:r>
          </w:p>
          <w:p w14:paraId="073C32C2" w14:textId="77777777" w:rsidR="00DC0676" w:rsidRPr="00B22420" w:rsidRDefault="00DC0676" w:rsidP="00996FB3">
            <w:pPr>
              <w:autoSpaceDE w:val="0"/>
              <w:autoSpaceDN w:val="0"/>
              <w:adjustRightInd w:val="0"/>
              <w:jc w:val="both"/>
              <w:rPr>
                <w:sz w:val="22"/>
                <w:szCs w:val="22"/>
              </w:rPr>
            </w:pPr>
          </w:p>
          <w:p w14:paraId="2B73FF2A"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1C10BB10" w14:textId="77777777" w:rsidR="00996FB3" w:rsidRPr="00B22420" w:rsidRDefault="00C76457" w:rsidP="00996FB3">
            <w:pPr>
              <w:autoSpaceDE w:val="0"/>
              <w:autoSpaceDN w:val="0"/>
              <w:adjustRightInd w:val="0"/>
              <w:jc w:val="both"/>
              <w:rPr>
                <w:sz w:val="22"/>
                <w:szCs w:val="22"/>
              </w:rPr>
            </w:pPr>
            <w:r w:rsidRPr="00B22420">
              <w:rPr>
                <w:sz w:val="22"/>
                <w:szCs w:val="22"/>
              </w:rPr>
              <w:t>навыками разработки и реализации программ организационных изменений на основе сформированной корпоративной стратегии развития</w:t>
            </w:r>
          </w:p>
        </w:tc>
      </w:tr>
      <w:tr w:rsidR="00996FB3" w:rsidRPr="0065641B" w14:paraId="368CE62A" w14:textId="77777777" w:rsidTr="00B22420">
        <w:trPr>
          <w:trHeight w:val="212"/>
        </w:trPr>
        <w:tc>
          <w:tcPr>
            <w:tcW w:w="958" w:type="pct"/>
          </w:tcPr>
          <w:p w14:paraId="16872488"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ПК-5 - Способен обеспечивать стратегическое развитие предпринимательских проектов, в том числе на основе государственно-частного партнерства</w:t>
            </w:r>
          </w:p>
        </w:tc>
        <w:tc>
          <w:tcPr>
            <w:tcW w:w="1031" w:type="pct"/>
          </w:tcPr>
          <w:p w14:paraId="599128CE"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ПК-5.3 - Руководит предпринимательскими проектами по освоению вновь разрабатываемых организационных и технологических процессов</w:t>
            </w:r>
          </w:p>
        </w:tc>
        <w:tc>
          <w:tcPr>
            <w:tcW w:w="3011" w:type="pct"/>
          </w:tcPr>
          <w:p w14:paraId="30D757E7" w14:textId="77777777" w:rsidR="00DC0676" w:rsidRPr="00B22420" w:rsidRDefault="00DC0676" w:rsidP="00996FB3">
            <w:pPr>
              <w:autoSpaceDE w:val="0"/>
              <w:autoSpaceDN w:val="0"/>
              <w:adjustRightInd w:val="0"/>
              <w:jc w:val="both"/>
              <w:rPr>
                <w:sz w:val="22"/>
                <w:szCs w:val="22"/>
              </w:rPr>
            </w:pPr>
            <w:r w:rsidRPr="00B22420">
              <w:rPr>
                <w:sz w:val="22"/>
                <w:szCs w:val="22"/>
              </w:rPr>
              <w:t>Уметь:</w:t>
            </w:r>
          </w:p>
          <w:p w14:paraId="5054166E" w14:textId="77777777" w:rsidR="00DC0676" w:rsidRPr="00B22420" w:rsidRDefault="00C76457" w:rsidP="00996FB3">
            <w:pPr>
              <w:autoSpaceDE w:val="0"/>
              <w:autoSpaceDN w:val="0"/>
              <w:adjustRightInd w:val="0"/>
              <w:jc w:val="both"/>
              <w:rPr>
                <w:sz w:val="22"/>
                <w:szCs w:val="22"/>
              </w:rPr>
            </w:pPr>
            <w:r w:rsidRPr="00B22420">
              <w:rPr>
                <w:sz w:val="22"/>
                <w:szCs w:val="22"/>
              </w:rPr>
              <w:t>управлять процессом стратегического развития организации на основе освоения организационных и технологически процессов</w:t>
            </w:r>
          </w:p>
          <w:p w14:paraId="44ED47D0" w14:textId="77777777" w:rsidR="00DC0676" w:rsidRPr="00B22420" w:rsidRDefault="00DC0676" w:rsidP="00996FB3">
            <w:pPr>
              <w:autoSpaceDE w:val="0"/>
              <w:autoSpaceDN w:val="0"/>
              <w:adjustRightInd w:val="0"/>
              <w:jc w:val="both"/>
              <w:rPr>
                <w:sz w:val="22"/>
                <w:szCs w:val="22"/>
              </w:rPr>
            </w:pPr>
          </w:p>
          <w:p w14:paraId="5DE8C5D6"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45FA8353" w14:textId="77777777" w:rsidR="00996FB3" w:rsidRPr="00B22420" w:rsidRDefault="00C76457" w:rsidP="00996FB3">
            <w:pPr>
              <w:autoSpaceDE w:val="0"/>
              <w:autoSpaceDN w:val="0"/>
              <w:adjustRightInd w:val="0"/>
              <w:jc w:val="both"/>
              <w:rPr>
                <w:sz w:val="22"/>
                <w:szCs w:val="22"/>
              </w:rPr>
            </w:pPr>
            <w:r w:rsidRPr="00B22420">
              <w:rPr>
                <w:sz w:val="22"/>
                <w:szCs w:val="22"/>
              </w:rPr>
              <w:t>навыками разработки стратегий развития предпринимательских проектов, методами управления предпринимательскими проектами, в том числе на основе государственно-частного партнерства</w:t>
            </w:r>
          </w:p>
        </w:tc>
      </w:tr>
      <w:tr w:rsidR="00996FB3" w:rsidRPr="0065641B" w14:paraId="25D2844B" w14:textId="77777777" w:rsidTr="00B22420">
        <w:trPr>
          <w:trHeight w:val="212"/>
        </w:trPr>
        <w:tc>
          <w:tcPr>
            <w:tcW w:w="958" w:type="pct"/>
          </w:tcPr>
          <w:p w14:paraId="56669905"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t xml:space="preserve">ПК-6 - Способен развивать и поддерживать </w:t>
            </w:r>
            <w:r w:rsidRPr="00B22420">
              <w:rPr>
                <w:sz w:val="22"/>
                <w:szCs w:val="22"/>
              </w:rPr>
              <w:lastRenderedPageBreak/>
              <w:t>системы управления рисками стратегических проектов организаций на региональном, национальном и отраслевом уровнях</w:t>
            </w:r>
          </w:p>
        </w:tc>
        <w:tc>
          <w:tcPr>
            <w:tcW w:w="1031" w:type="pct"/>
          </w:tcPr>
          <w:p w14:paraId="390944C3" w14:textId="77777777" w:rsidR="00996FB3" w:rsidRPr="00B22420" w:rsidRDefault="00C76457" w:rsidP="00B22420">
            <w:pPr>
              <w:widowControl w:val="0"/>
              <w:tabs>
                <w:tab w:val="left" w:pos="0"/>
              </w:tabs>
              <w:autoSpaceDE w:val="0"/>
              <w:autoSpaceDN w:val="0"/>
              <w:rPr>
                <w:b/>
                <w:sz w:val="22"/>
                <w:szCs w:val="22"/>
              </w:rPr>
            </w:pPr>
            <w:r w:rsidRPr="00B22420">
              <w:rPr>
                <w:sz w:val="22"/>
                <w:szCs w:val="22"/>
              </w:rPr>
              <w:lastRenderedPageBreak/>
              <w:t xml:space="preserve">ПК-6.2 - Осуществляет разработку мероприятий по </w:t>
            </w:r>
            <w:r w:rsidRPr="00B22420">
              <w:rPr>
                <w:sz w:val="22"/>
                <w:szCs w:val="22"/>
              </w:rPr>
              <w:lastRenderedPageBreak/>
              <w:t>воздействию на риски стратегических проектов развития на внутрикорпоративном, региональном, национальном и отраслевом уровнях</w:t>
            </w:r>
          </w:p>
        </w:tc>
        <w:tc>
          <w:tcPr>
            <w:tcW w:w="3011" w:type="pct"/>
          </w:tcPr>
          <w:p w14:paraId="339FAE8E" w14:textId="77777777" w:rsidR="00DC0676" w:rsidRPr="00B22420" w:rsidRDefault="00DC0676" w:rsidP="00996FB3">
            <w:pPr>
              <w:autoSpaceDE w:val="0"/>
              <w:autoSpaceDN w:val="0"/>
              <w:adjustRightInd w:val="0"/>
              <w:jc w:val="both"/>
              <w:rPr>
                <w:sz w:val="22"/>
                <w:szCs w:val="22"/>
              </w:rPr>
            </w:pPr>
            <w:r w:rsidRPr="00B22420">
              <w:rPr>
                <w:sz w:val="22"/>
                <w:szCs w:val="22"/>
              </w:rPr>
              <w:lastRenderedPageBreak/>
              <w:t>Уметь:</w:t>
            </w:r>
          </w:p>
          <w:p w14:paraId="0FF83C87" w14:textId="77777777" w:rsidR="00DC0676" w:rsidRPr="00B22420" w:rsidRDefault="00C76457" w:rsidP="00996FB3">
            <w:pPr>
              <w:autoSpaceDE w:val="0"/>
              <w:autoSpaceDN w:val="0"/>
              <w:adjustRightInd w:val="0"/>
              <w:jc w:val="both"/>
              <w:rPr>
                <w:sz w:val="22"/>
                <w:szCs w:val="22"/>
              </w:rPr>
            </w:pPr>
            <w:r w:rsidRPr="00B22420">
              <w:rPr>
                <w:sz w:val="22"/>
                <w:szCs w:val="22"/>
              </w:rPr>
              <w:t xml:space="preserve">осуществлять учет и оценку рисков стратегических проектов, формировать </w:t>
            </w:r>
            <w:r w:rsidRPr="00B22420">
              <w:rPr>
                <w:sz w:val="22"/>
                <w:szCs w:val="22"/>
              </w:rPr>
              <w:lastRenderedPageBreak/>
              <w:t>системы управления рисками проектов организаций на региональном, национальном и отраслевом уровне</w:t>
            </w:r>
          </w:p>
          <w:p w14:paraId="4136D0B3" w14:textId="77777777" w:rsidR="00DC0676" w:rsidRPr="00B22420" w:rsidRDefault="00DC0676" w:rsidP="00996FB3">
            <w:pPr>
              <w:autoSpaceDE w:val="0"/>
              <w:autoSpaceDN w:val="0"/>
              <w:adjustRightInd w:val="0"/>
              <w:jc w:val="both"/>
              <w:rPr>
                <w:sz w:val="22"/>
                <w:szCs w:val="22"/>
              </w:rPr>
            </w:pPr>
          </w:p>
          <w:p w14:paraId="6EF12BB5" w14:textId="77777777" w:rsidR="002E5704" w:rsidRPr="00B22420" w:rsidRDefault="002E5704" w:rsidP="00996FB3">
            <w:pPr>
              <w:autoSpaceDE w:val="0"/>
              <w:autoSpaceDN w:val="0"/>
              <w:adjustRightInd w:val="0"/>
              <w:jc w:val="both"/>
              <w:rPr>
                <w:sz w:val="22"/>
                <w:szCs w:val="22"/>
              </w:rPr>
            </w:pPr>
            <w:r w:rsidRPr="00B22420">
              <w:rPr>
                <w:sz w:val="22"/>
                <w:szCs w:val="22"/>
              </w:rPr>
              <w:t>Владеть:</w:t>
            </w:r>
          </w:p>
          <w:p w14:paraId="35269FF0" w14:textId="77777777" w:rsidR="00996FB3" w:rsidRPr="00B22420" w:rsidRDefault="00C76457" w:rsidP="00996FB3">
            <w:pPr>
              <w:autoSpaceDE w:val="0"/>
              <w:autoSpaceDN w:val="0"/>
              <w:adjustRightInd w:val="0"/>
              <w:jc w:val="both"/>
              <w:rPr>
                <w:sz w:val="22"/>
                <w:szCs w:val="22"/>
              </w:rPr>
            </w:pPr>
            <w:r w:rsidRPr="00B22420">
              <w:rPr>
                <w:sz w:val="22"/>
                <w:szCs w:val="22"/>
              </w:rPr>
              <w:t>методами управления рисками стратегических проектов развития организаций на основе разработки программы мероприятий по управлению рисками</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2906"/>
        <w:gridCol w:w="5666"/>
      </w:tblGrid>
      <w:tr w:rsidR="0065641B" w:rsidRPr="00B22420" w14:paraId="65314A5A" w14:textId="77777777" w:rsidTr="00B22420">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B22420" w:rsidRDefault="005D11CD" w:rsidP="00A308D0">
            <w:pPr>
              <w:jc w:val="center"/>
              <w:rPr>
                <w:rFonts w:eastAsia="Calibri"/>
                <w:b/>
                <w:sz w:val="22"/>
                <w:szCs w:val="22"/>
              </w:rPr>
            </w:pPr>
            <w:r w:rsidRPr="00B22420">
              <w:rPr>
                <w:rFonts w:eastAsia="Calibri"/>
                <w:b/>
                <w:sz w:val="22"/>
                <w:szCs w:val="22"/>
              </w:rPr>
              <w:t>№ п/п</w:t>
            </w:r>
          </w:p>
        </w:tc>
        <w:tc>
          <w:tcPr>
            <w:tcW w:w="1555"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B22420" w:rsidRDefault="005D11CD" w:rsidP="00B22420">
            <w:pPr>
              <w:jc w:val="center"/>
              <w:rPr>
                <w:rFonts w:eastAsia="Calibri"/>
                <w:b/>
                <w:sz w:val="22"/>
                <w:szCs w:val="22"/>
              </w:rPr>
            </w:pPr>
            <w:r w:rsidRPr="00B22420">
              <w:rPr>
                <w:rFonts w:eastAsia="Calibri"/>
                <w:b/>
                <w:sz w:val="22"/>
                <w:szCs w:val="22"/>
              </w:rPr>
              <w:t>Разделы (этапы) практики</w:t>
            </w:r>
          </w:p>
        </w:tc>
        <w:tc>
          <w:tcPr>
            <w:tcW w:w="3032"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B22420" w:rsidRDefault="005D11CD" w:rsidP="007B7364">
            <w:pPr>
              <w:ind w:right="180"/>
              <w:jc w:val="center"/>
              <w:rPr>
                <w:rFonts w:eastAsia="Calibri"/>
                <w:b/>
                <w:sz w:val="22"/>
                <w:szCs w:val="22"/>
              </w:rPr>
            </w:pPr>
            <w:r w:rsidRPr="00B22420">
              <w:rPr>
                <w:rFonts w:eastAsia="Calibri"/>
                <w:b/>
                <w:sz w:val="22"/>
                <w:szCs w:val="22"/>
              </w:rPr>
              <w:t>Содержание практики</w:t>
            </w:r>
          </w:p>
        </w:tc>
      </w:tr>
      <w:tr w:rsidR="005D11CD" w:rsidRPr="00B22420" w14:paraId="1ED871D2" w14:textId="77777777" w:rsidTr="00B22420">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B22420" w:rsidRDefault="00DA14FA" w:rsidP="00CA7F28">
            <w:pPr>
              <w:widowControl w:val="0"/>
              <w:autoSpaceDE w:val="0"/>
              <w:autoSpaceDN w:val="0"/>
              <w:rPr>
                <w:sz w:val="22"/>
                <w:szCs w:val="22"/>
                <w:lang w:bidi="ru-RU"/>
              </w:rPr>
            </w:pPr>
            <w:r w:rsidRPr="00B22420">
              <w:rPr>
                <w:sz w:val="22"/>
                <w:szCs w:val="22"/>
                <w:lang w:bidi="ru-RU"/>
              </w:rPr>
              <w:t>1</w:t>
            </w:r>
          </w:p>
        </w:tc>
        <w:tc>
          <w:tcPr>
            <w:tcW w:w="1555" w:type="pct"/>
            <w:tcBorders>
              <w:top w:val="single" w:sz="4" w:space="0" w:color="auto"/>
              <w:left w:val="single" w:sz="4" w:space="0" w:color="auto"/>
              <w:bottom w:val="single" w:sz="4" w:space="0" w:color="auto"/>
              <w:right w:val="single" w:sz="4" w:space="0" w:color="auto"/>
            </w:tcBorders>
            <w:hideMark/>
          </w:tcPr>
          <w:p w14:paraId="6ADFA506" w14:textId="6D30B601" w:rsidR="005D11CD" w:rsidRPr="00B22420" w:rsidRDefault="00783533" w:rsidP="00DA14FA">
            <w:pPr>
              <w:rPr>
                <w:rFonts w:eastAsia="Calibri"/>
                <w:sz w:val="22"/>
                <w:szCs w:val="22"/>
              </w:rPr>
            </w:pPr>
            <w:r w:rsidRPr="00B22420">
              <w:rPr>
                <w:sz w:val="22"/>
                <w:szCs w:val="22"/>
                <w:lang w:bidi="ru-RU"/>
              </w:rPr>
              <w:t>Организационно-подготовительный этап</w:t>
            </w:r>
          </w:p>
        </w:tc>
        <w:tc>
          <w:tcPr>
            <w:tcW w:w="3032" w:type="pct"/>
            <w:tcBorders>
              <w:top w:val="single" w:sz="4" w:space="0" w:color="auto"/>
              <w:left w:val="single" w:sz="4" w:space="0" w:color="auto"/>
              <w:bottom w:val="single" w:sz="4" w:space="0" w:color="auto"/>
              <w:right w:val="single" w:sz="4" w:space="0" w:color="auto"/>
            </w:tcBorders>
          </w:tcPr>
          <w:p w14:paraId="20CACAF2" w14:textId="1A26A61D" w:rsidR="005D11CD" w:rsidRPr="00B22420" w:rsidRDefault="00783533" w:rsidP="00B22420">
            <w:pPr>
              <w:widowControl w:val="0"/>
              <w:autoSpaceDE w:val="0"/>
              <w:autoSpaceDN w:val="0"/>
              <w:jc w:val="both"/>
              <w:rPr>
                <w:sz w:val="22"/>
                <w:szCs w:val="22"/>
                <w:lang w:bidi="ru-RU"/>
              </w:rPr>
            </w:pPr>
            <w:r w:rsidRPr="00B22420">
              <w:rPr>
                <w:sz w:val="22"/>
                <w:szCs w:val="22"/>
                <w:lang w:bidi="ru-RU"/>
              </w:rPr>
              <w:t>Проведение установочного собрания. Инструктаж по технике безопасности, правилам внутреннего распорядка и правилам охраны труда. Составление индивидуального задания с учетом планируемой профильной организации (базы практической подготовки).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 в профильной организации.</w:t>
            </w:r>
          </w:p>
        </w:tc>
      </w:tr>
      <w:tr w:rsidR="005D11CD" w:rsidRPr="00B22420" w14:paraId="773D4DEC" w14:textId="77777777" w:rsidTr="00B22420">
        <w:tc>
          <w:tcPr>
            <w:tcW w:w="413" w:type="pct"/>
            <w:tcBorders>
              <w:top w:val="single" w:sz="4" w:space="0" w:color="auto"/>
              <w:left w:val="single" w:sz="4" w:space="0" w:color="auto"/>
              <w:bottom w:val="single" w:sz="4" w:space="0" w:color="auto"/>
              <w:right w:val="single" w:sz="4" w:space="0" w:color="auto"/>
            </w:tcBorders>
            <w:hideMark/>
          </w:tcPr>
          <w:p w14:paraId="1829FD60" w14:textId="77777777" w:rsidR="005D11CD" w:rsidRPr="00B22420" w:rsidRDefault="00DA14FA" w:rsidP="00CA7F28">
            <w:pPr>
              <w:widowControl w:val="0"/>
              <w:autoSpaceDE w:val="0"/>
              <w:autoSpaceDN w:val="0"/>
              <w:rPr>
                <w:sz w:val="22"/>
                <w:szCs w:val="22"/>
                <w:lang w:bidi="ru-RU"/>
              </w:rPr>
            </w:pPr>
            <w:r w:rsidRPr="00B22420">
              <w:rPr>
                <w:sz w:val="22"/>
                <w:szCs w:val="22"/>
                <w:lang w:bidi="ru-RU"/>
              </w:rPr>
              <w:t>2</w:t>
            </w:r>
          </w:p>
        </w:tc>
        <w:tc>
          <w:tcPr>
            <w:tcW w:w="1555" w:type="pct"/>
            <w:tcBorders>
              <w:top w:val="single" w:sz="4" w:space="0" w:color="auto"/>
              <w:left w:val="single" w:sz="4" w:space="0" w:color="auto"/>
              <w:bottom w:val="single" w:sz="4" w:space="0" w:color="auto"/>
              <w:right w:val="single" w:sz="4" w:space="0" w:color="auto"/>
            </w:tcBorders>
            <w:hideMark/>
          </w:tcPr>
          <w:p w14:paraId="1DEA1455" w14:textId="77777777" w:rsidR="005D11CD" w:rsidRPr="00B22420" w:rsidRDefault="00783533" w:rsidP="00DA14FA">
            <w:pPr>
              <w:rPr>
                <w:rFonts w:eastAsia="Calibri"/>
                <w:sz w:val="22"/>
                <w:szCs w:val="22"/>
              </w:rPr>
            </w:pPr>
            <w:r w:rsidRPr="00B22420">
              <w:rPr>
                <w:sz w:val="22"/>
                <w:szCs w:val="22"/>
                <w:lang w:bidi="ru-RU"/>
              </w:rPr>
              <w:t>Основной этап</w:t>
            </w:r>
          </w:p>
        </w:tc>
        <w:tc>
          <w:tcPr>
            <w:tcW w:w="3032" w:type="pct"/>
            <w:tcBorders>
              <w:top w:val="single" w:sz="4" w:space="0" w:color="auto"/>
              <w:left w:val="single" w:sz="4" w:space="0" w:color="auto"/>
              <w:bottom w:val="single" w:sz="4" w:space="0" w:color="auto"/>
              <w:right w:val="single" w:sz="4" w:space="0" w:color="auto"/>
            </w:tcBorders>
          </w:tcPr>
          <w:p w14:paraId="381ACD28" w14:textId="77777777" w:rsidR="005D11CD" w:rsidRPr="00B22420" w:rsidRDefault="00783533" w:rsidP="00B22420">
            <w:pPr>
              <w:widowControl w:val="0"/>
              <w:autoSpaceDE w:val="0"/>
              <w:autoSpaceDN w:val="0"/>
              <w:jc w:val="both"/>
              <w:rPr>
                <w:sz w:val="22"/>
                <w:szCs w:val="22"/>
                <w:lang w:bidi="ru-RU"/>
              </w:rPr>
            </w:pPr>
            <w:r w:rsidRPr="00B22420">
              <w:rPr>
                <w:sz w:val="22"/>
                <w:szCs w:val="22"/>
                <w:lang w:bidi="ru-RU"/>
              </w:rPr>
              <w:t>Знакомство с профильной организацией в том числе с открытой информацией в сети Интернет.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B22420" w14:paraId="379A436F" w14:textId="77777777" w:rsidTr="00B22420">
        <w:tc>
          <w:tcPr>
            <w:tcW w:w="413" w:type="pct"/>
            <w:tcBorders>
              <w:top w:val="single" w:sz="4" w:space="0" w:color="auto"/>
              <w:left w:val="single" w:sz="4" w:space="0" w:color="auto"/>
              <w:bottom w:val="single" w:sz="4" w:space="0" w:color="auto"/>
              <w:right w:val="single" w:sz="4" w:space="0" w:color="auto"/>
            </w:tcBorders>
            <w:hideMark/>
          </w:tcPr>
          <w:p w14:paraId="05E34123" w14:textId="77777777" w:rsidR="005D11CD" w:rsidRPr="00B22420" w:rsidRDefault="00DA14FA" w:rsidP="00CA7F28">
            <w:pPr>
              <w:widowControl w:val="0"/>
              <w:autoSpaceDE w:val="0"/>
              <w:autoSpaceDN w:val="0"/>
              <w:rPr>
                <w:sz w:val="22"/>
                <w:szCs w:val="22"/>
                <w:lang w:bidi="ru-RU"/>
              </w:rPr>
            </w:pPr>
            <w:r w:rsidRPr="00B22420">
              <w:rPr>
                <w:sz w:val="22"/>
                <w:szCs w:val="22"/>
                <w:lang w:bidi="ru-RU"/>
              </w:rPr>
              <w:t>3</w:t>
            </w:r>
          </w:p>
        </w:tc>
        <w:tc>
          <w:tcPr>
            <w:tcW w:w="1555" w:type="pct"/>
            <w:tcBorders>
              <w:top w:val="single" w:sz="4" w:space="0" w:color="auto"/>
              <w:left w:val="single" w:sz="4" w:space="0" w:color="auto"/>
              <w:bottom w:val="single" w:sz="4" w:space="0" w:color="auto"/>
              <w:right w:val="single" w:sz="4" w:space="0" w:color="auto"/>
            </w:tcBorders>
            <w:hideMark/>
          </w:tcPr>
          <w:p w14:paraId="7A468C7D" w14:textId="77777777" w:rsidR="005D11CD" w:rsidRPr="00B22420" w:rsidRDefault="00783533" w:rsidP="00DA14FA">
            <w:pPr>
              <w:rPr>
                <w:rFonts w:eastAsia="Calibri"/>
                <w:sz w:val="22"/>
                <w:szCs w:val="22"/>
              </w:rPr>
            </w:pPr>
            <w:r w:rsidRPr="00B22420">
              <w:rPr>
                <w:sz w:val="22"/>
                <w:szCs w:val="22"/>
                <w:lang w:bidi="ru-RU"/>
              </w:rPr>
              <w:t>Заключительный этап</w:t>
            </w:r>
          </w:p>
        </w:tc>
        <w:tc>
          <w:tcPr>
            <w:tcW w:w="3032" w:type="pct"/>
            <w:tcBorders>
              <w:top w:val="single" w:sz="4" w:space="0" w:color="auto"/>
              <w:left w:val="single" w:sz="4" w:space="0" w:color="auto"/>
              <w:bottom w:val="single" w:sz="4" w:space="0" w:color="auto"/>
              <w:right w:val="single" w:sz="4" w:space="0" w:color="auto"/>
            </w:tcBorders>
          </w:tcPr>
          <w:p w14:paraId="7F88A120" w14:textId="77777777" w:rsidR="005D11CD" w:rsidRPr="00B22420" w:rsidRDefault="00783533" w:rsidP="00B22420">
            <w:pPr>
              <w:widowControl w:val="0"/>
              <w:autoSpaceDE w:val="0"/>
              <w:autoSpaceDN w:val="0"/>
              <w:jc w:val="both"/>
              <w:rPr>
                <w:sz w:val="22"/>
                <w:szCs w:val="22"/>
                <w:lang w:bidi="ru-RU"/>
              </w:rPr>
            </w:pPr>
            <w:r w:rsidRPr="00B22420">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B22420" w14:paraId="2326CD6A" w14:textId="77777777" w:rsidTr="00B22420">
        <w:tc>
          <w:tcPr>
            <w:tcW w:w="413" w:type="pct"/>
            <w:tcBorders>
              <w:top w:val="single" w:sz="4" w:space="0" w:color="auto"/>
              <w:left w:val="single" w:sz="4" w:space="0" w:color="auto"/>
              <w:bottom w:val="single" w:sz="4" w:space="0" w:color="auto"/>
              <w:right w:val="single" w:sz="4" w:space="0" w:color="auto"/>
            </w:tcBorders>
            <w:hideMark/>
          </w:tcPr>
          <w:p w14:paraId="3419C813" w14:textId="77777777" w:rsidR="005D11CD" w:rsidRPr="00B22420" w:rsidRDefault="00DA14FA" w:rsidP="00CA7F28">
            <w:pPr>
              <w:widowControl w:val="0"/>
              <w:autoSpaceDE w:val="0"/>
              <w:autoSpaceDN w:val="0"/>
              <w:rPr>
                <w:sz w:val="22"/>
                <w:szCs w:val="22"/>
                <w:lang w:bidi="ru-RU"/>
              </w:rPr>
            </w:pPr>
            <w:r w:rsidRPr="00B22420">
              <w:rPr>
                <w:sz w:val="22"/>
                <w:szCs w:val="22"/>
                <w:lang w:bidi="ru-RU"/>
              </w:rPr>
              <w:t>4</w:t>
            </w:r>
          </w:p>
        </w:tc>
        <w:tc>
          <w:tcPr>
            <w:tcW w:w="1555" w:type="pct"/>
            <w:tcBorders>
              <w:top w:val="single" w:sz="4" w:space="0" w:color="auto"/>
              <w:left w:val="single" w:sz="4" w:space="0" w:color="auto"/>
              <w:bottom w:val="single" w:sz="4" w:space="0" w:color="auto"/>
              <w:right w:val="single" w:sz="4" w:space="0" w:color="auto"/>
            </w:tcBorders>
            <w:hideMark/>
          </w:tcPr>
          <w:p w14:paraId="5C1D5712" w14:textId="77777777" w:rsidR="005D11CD" w:rsidRPr="00B22420" w:rsidRDefault="00783533" w:rsidP="00DA14FA">
            <w:pPr>
              <w:rPr>
                <w:rFonts w:eastAsia="Calibri"/>
                <w:sz w:val="22"/>
                <w:szCs w:val="22"/>
              </w:rPr>
            </w:pPr>
            <w:r w:rsidRPr="00B22420">
              <w:rPr>
                <w:sz w:val="22"/>
                <w:szCs w:val="22"/>
                <w:lang w:bidi="ru-RU"/>
              </w:rPr>
              <w:t>Контрольный этап</w:t>
            </w:r>
          </w:p>
        </w:tc>
        <w:tc>
          <w:tcPr>
            <w:tcW w:w="3032" w:type="pct"/>
            <w:tcBorders>
              <w:top w:val="single" w:sz="4" w:space="0" w:color="auto"/>
              <w:left w:val="single" w:sz="4" w:space="0" w:color="auto"/>
              <w:bottom w:val="single" w:sz="4" w:space="0" w:color="auto"/>
              <w:right w:val="single" w:sz="4" w:space="0" w:color="auto"/>
            </w:tcBorders>
          </w:tcPr>
          <w:p w14:paraId="6CA22308" w14:textId="77777777" w:rsidR="005D11CD" w:rsidRPr="00B22420" w:rsidRDefault="00783533" w:rsidP="00B22420">
            <w:pPr>
              <w:widowControl w:val="0"/>
              <w:autoSpaceDE w:val="0"/>
              <w:autoSpaceDN w:val="0"/>
              <w:jc w:val="both"/>
              <w:rPr>
                <w:sz w:val="22"/>
                <w:szCs w:val="22"/>
                <w:lang w:bidi="ru-RU"/>
              </w:rPr>
            </w:pPr>
            <w:r w:rsidRPr="00B22420">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5"/>
        <w:gridCol w:w="3349"/>
      </w:tblGrid>
      <w:tr w:rsidR="0065641B" w:rsidRPr="00B22420" w14:paraId="3464B1F7" w14:textId="77777777" w:rsidTr="00B22420">
        <w:tc>
          <w:tcPr>
            <w:tcW w:w="3208" w:type="pct"/>
            <w:shd w:val="clear" w:color="auto" w:fill="auto"/>
          </w:tcPr>
          <w:p w14:paraId="7E1C7DCA" w14:textId="77777777" w:rsidR="00530A60" w:rsidRPr="00B22420" w:rsidRDefault="00530A60" w:rsidP="003C73A5">
            <w:pPr>
              <w:jc w:val="center"/>
              <w:rPr>
                <w:b/>
                <w:sz w:val="22"/>
                <w:szCs w:val="22"/>
              </w:rPr>
            </w:pPr>
            <w:r w:rsidRPr="00B22420">
              <w:rPr>
                <w:b/>
                <w:sz w:val="22"/>
                <w:szCs w:val="22"/>
              </w:rPr>
              <w:t>Библиографическое описание издания (автор, заглавие, вид, место и год издания, кол. стр.)</w:t>
            </w:r>
          </w:p>
        </w:tc>
        <w:tc>
          <w:tcPr>
            <w:tcW w:w="1792" w:type="pct"/>
            <w:shd w:val="clear" w:color="auto" w:fill="auto"/>
          </w:tcPr>
          <w:p w14:paraId="2612A585" w14:textId="77777777" w:rsidR="00530A60" w:rsidRPr="00B22420" w:rsidRDefault="00530A60" w:rsidP="003C73A5">
            <w:pPr>
              <w:jc w:val="center"/>
              <w:rPr>
                <w:b/>
                <w:sz w:val="22"/>
                <w:szCs w:val="22"/>
              </w:rPr>
            </w:pPr>
            <w:r w:rsidRPr="00B22420">
              <w:rPr>
                <w:b/>
                <w:sz w:val="22"/>
                <w:szCs w:val="22"/>
              </w:rPr>
              <w:t>Электронные ресурсы</w:t>
            </w:r>
          </w:p>
        </w:tc>
      </w:tr>
      <w:tr w:rsidR="00530A60" w:rsidRPr="00B22420" w14:paraId="4C2605EA" w14:textId="77777777" w:rsidTr="00B22420">
        <w:tc>
          <w:tcPr>
            <w:tcW w:w="3208" w:type="pct"/>
            <w:shd w:val="clear" w:color="auto" w:fill="auto"/>
          </w:tcPr>
          <w:p w14:paraId="160C119F" w14:textId="77777777" w:rsidR="00530A60" w:rsidRPr="00B22420" w:rsidRDefault="00C76457">
            <w:pPr>
              <w:rPr>
                <w:sz w:val="22"/>
                <w:szCs w:val="22"/>
              </w:rPr>
            </w:pPr>
            <w:r w:rsidRPr="00B22420">
              <w:rPr>
                <w:sz w:val="22"/>
                <w:szCs w:val="22"/>
              </w:rPr>
              <w:t xml:space="preserve">Мордовец, Виталий </w:t>
            </w:r>
            <w:proofErr w:type="spellStart"/>
            <w:r w:rsidRPr="00B22420">
              <w:rPr>
                <w:sz w:val="22"/>
                <w:szCs w:val="22"/>
              </w:rPr>
              <w:t>АнатольевичУправление</w:t>
            </w:r>
            <w:proofErr w:type="spellEnd"/>
            <w:r w:rsidRPr="00B22420">
              <w:rPr>
                <w:sz w:val="22"/>
                <w:szCs w:val="22"/>
              </w:rPr>
              <w:t xml:space="preserve"> организацией (предприятием</w:t>
            </w:r>
            <w:proofErr w:type="gramStart"/>
            <w:r w:rsidRPr="00B22420">
              <w:rPr>
                <w:sz w:val="22"/>
                <w:szCs w:val="22"/>
              </w:rPr>
              <w:t>) :</w:t>
            </w:r>
            <w:proofErr w:type="gramEnd"/>
            <w:r w:rsidRPr="00B22420">
              <w:rPr>
                <w:sz w:val="22"/>
                <w:szCs w:val="22"/>
              </w:rPr>
              <w:t xml:space="preserve"> учебное пособие / </w:t>
            </w:r>
            <w:proofErr w:type="spellStart"/>
            <w:r w:rsidRPr="00B22420">
              <w:rPr>
                <w:sz w:val="22"/>
                <w:szCs w:val="22"/>
              </w:rPr>
              <w:t>В.А.Мордовец</w:t>
            </w:r>
            <w:proofErr w:type="spellEnd"/>
            <w:r w:rsidRPr="00B22420">
              <w:rPr>
                <w:sz w:val="22"/>
                <w:szCs w:val="22"/>
              </w:rPr>
              <w:t xml:space="preserve">, </w:t>
            </w:r>
            <w:proofErr w:type="spellStart"/>
            <w:r w:rsidRPr="00B22420">
              <w:rPr>
                <w:sz w:val="22"/>
                <w:szCs w:val="22"/>
              </w:rPr>
              <w:t>А.А.Графов</w:t>
            </w:r>
            <w:proofErr w:type="spellEnd"/>
            <w:r w:rsidRPr="00B22420">
              <w:rPr>
                <w:sz w:val="22"/>
                <w:szCs w:val="22"/>
              </w:rPr>
              <w:t xml:space="preserve"> ; М-во науки и </w:t>
            </w:r>
            <w:proofErr w:type="spellStart"/>
            <w:r w:rsidRPr="00B22420">
              <w:rPr>
                <w:sz w:val="22"/>
                <w:szCs w:val="22"/>
              </w:rPr>
              <w:t>высш</w:t>
            </w:r>
            <w:proofErr w:type="spellEnd"/>
            <w:r w:rsidRPr="00B22420">
              <w:rPr>
                <w:sz w:val="22"/>
                <w:szCs w:val="22"/>
              </w:rPr>
              <w:t>. образования Рос. Федерации, С.-</w:t>
            </w:r>
            <w:proofErr w:type="spellStart"/>
            <w:r w:rsidRPr="00B22420">
              <w:rPr>
                <w:sz w:val="22"/>
                <w:szCs w:val="22"/>
              </w:rPr>
              <w:t>Петерб</w:t>
            </w:r>
            <w:proofErr w:type="spellEnd"/>
            <w:r w:rsidRPr="00B22420">
              <w:rPr>
                <w:sz w:val="22"/>
                <w:szCs w:val="22"/>
              </w:rPr>
              <w:t xml:space="preserve">. гос. </w:t>
            </w:r>
            <w:proofErr w:type="spellStart"/>
            <w:r w:rsidRPr="00B22420">
              <w:rPr>
                <w:sz w:val="22"/>
                <w:szCs w:val="22"/>
              </w:rPr>
              <w:t>экон</w:t>
            </w:r>
            <w:proofErr w:type="spellEnd"/>
            <w:r w:rsidRPr="00B22420">
              <w:rPr>
                <w:sz w:val="22"/>
                <w:szCs w:val="22"/>
              </w:rPr>
              <w:t xml:space="preserve">. ун-т, Каф. </w:t>
            </w:r>
            <w:proofErr w:type="spellStart"/>
            <w:r w:rsidRPr="00B22420">
              <w:rPr>
                <w:sz w:val="22"/>
                <w:szCs w:val="22"/>
              </w:rPr>
              <w:t>экон</w:t>
            </w:r>
            <w:proofErr w:type="spellEnd"/>
            <w:r w:rsidRPr="00B22420">
              <w:rPr>
                <w:sz w:val="22"/>
                <w:szCs w:val="22"/>
              </w:rPr>
              <w:t xml:space="preserve">. </w:t>
            </w:r>
            <w:proofErr w:type="spellStart"/>
            <w:r w:rsidRPr="00B22420">
              <w:rPr>
                <w:sz w:val="22"/>
                <w:szCs w:val="22"/>
              </w:rPr>
              <w:t>безопасностиСанкт</w:t>
            </w:r>
            <w:proofErr w:type="spellEnd"/>
            <w:r w:rsidRPr="00B22420">
              <w:rPr>
                <w:sz w:val="22"/>
                <w:szCs w:val="22"/>
              </w:rPr>
              <w:t>-</w:t>
            </w:r>
            <w:proofErr w:type="gramStart"/>
            <w:r w:rsidRPr="00B22420">
              <w:rPr>
                <w:sz w:val="22"/>
                <w:szCs w:val="22"/>
              </w:rPr>
              <w:t>Петербург :</w:t>
            </w:r>
            <w:proofErr w:type="gramEnd"/>
            <w:r w:rsidRPr="00B22420">
              <w:rPr>
                <w:sz w:val="22"/>
                <w:szCs w:val="22"/>
              </w:rPr>
              <w:t xml:space="preserve"> Изд-во </w:t>
            </w:r>
            <w:proofErr w:type="spellStart"/>
            <w:r w:rsidRPr="00B22420">
              <w:rPr>
                <w:sz w:val="22"/>
                <w:szCs w:val="22"/>
              </w:rPr>
              <w:t>СПбГЭУ</w:t>
            </w:r>
            <w:proofErr w:type="spellEnd"/>
            <w:r w:rsidRPr="00B22420">
              <w:rPr>
                <w:sz w:val="22"/>
                <w:szCs w:val="22"/>
              </w:rPr>
              <w:t>, 2021</w:t>
            </w:r>
          </w:p>
        </w:tc>
        <w:tc>
          <w:tcPr>
            <w:tcW w:w="1792" w:type="pct"/>
            <w:shd w:val="clear" w:color="auto" w:fill="auto"/>
          </w:tcPr>
          <w:p w14:paraId="680CBFC6" w14:textId="77777777" w:rsidR="00530A60" w:rsidRPr="00B22420" w:rsidRDefault="005C0303">
            <w:pPr>
              <w:rPr>
                <w:sz w:val="22"/>
                <w:szCs w:val="22"/>
              </w:rPr>
            </w:pPr>
            <w:hyperlink r:id="rId8" w:history="1">
              <w:r w:rsidR="00C76457" w:rsidRPr="00B22420">
                <w:rPr>
                  <w:color w:val="00008B"/>
                  <w:sz w:val="22"/>
                  <w:szCs w:val="22"/>
                  <w:u w:val="single"/>
                </w:rPr>
                <w:t>https://opac.unecon.ru/elibrar ... 8F%D1%82%D0%B8%D0%B5%D0%BC.pdf</w:t>
              </w:r>
            </w:hyperlink>
          </w:p>
        </w:tc>
      </w:tr>
      <w:tr w:rsidR="00530A60" w:rsidRPr="00B22420" w14:paraId="42BDB07D" w14:textId="77777777" w:rsidTr="00B22420">
        <w:tc>
          <w:tcPr>
            <w:tcW w:w="3208" w:type="pct"/>
            <w:shd w:val="clear" w:color="auto" w:fill="auto"/>
          </w:tcPr>
          <w:p w14:paraId="22A31761" w14:textId="77777777" w:rsidR="00530A60" w:rsidRPr="00B22420" w:rsidRDefault="00C76457">
            <w:pPr>
              <w:rPr>
                <w:sz w:val="22"/>
                <w:szCs w:val="22"/>
              </w:rPr>
            </w:pPr>
            <w:r w:rsidRPr="00B22420">
              <w:rPr>
                <w:sz w:val="22"/>
                <w:szCs w:val="22"/>
              </w:rPr>
              <w:t xml:space="preserve">Петров, Александр </w:t>
            </w:r>
            <w:proofErr w:type="spellStart"/>
            <w:r w:rsidRPr="00B22420">
              <w:rPr>
                <w:sz w:val="22"/>
                <w:szCs w:val="22"/>
              </w:rPr>
              <w:t>НиколаевичСтратегический</w:t>
            </w:r>
            <w:proofErr w:type="spellEnd"/>
            <w:r w:rsidRPr="00B22420">
              <w:rPr>
                <w:sz w:val="22"/>
                <w:szCs w:val="22"/>
              </w:rPr>
              <w:t xml:space="preserve"> менеджмент: в поисках новой </w:t>
            </w:r>
            <w:proofErr w:type="gramStart"/>
            <w:r w:rsidRPr="00B22420">
              <w:rPr>
                <w:sz w:val="22"/>
                <w:szCs w:val="22"/>
              </w:rPr>
              <w:t>парадигмы :</w:t>
            </w:r>
            <w:proofErr w:type="gramEnd"/>
            <w:r w:rsidRPr="00B22420">
              <w:rPr>
                <w:sz w:val="22"/>
                <w:szCs w:val="22"/>
              </w:rPr>
              <w:t xml:space="preserve"> [монография] / </w:t>
            </w:r>
            <w:proofErr w:type="spellStart"/>
            <w:r w:rsidRPr="00B22420">
              <w:rPr>
                <w:sz w:val="22"/>
                <w:szCs w:val="22"/>
              </w:rPr>
              <w:t>А.Н.Петров</w:t>
            </w:r>
            <w:proofErr w:type="spellEnd"/>
            <w:r w:rsidRPr="00B22420">
              <w:rPr>
                <w:sz w:val="22"/>
                <w:szCs w:val="22"/>
              </w:rPr>
              <w:t xml:space="preserve"> ; М-во науки и </w:t>
            </w:r>
            <w:proofErr w:type="spellStart"/>
            <w:r w:rsidRPr="00B22420">
              <w:rPr>
                <w:sz w:val="22"/>
                <w:szCs w:val="22"/>
              </w:rPr>
              <w:t>высш</w:t>
            </w:r>
            <w:proofErr w:type="spellEnd"/>
            <w:r w:rsidRPr="00B22420">
              <w:rPr>
                <w:sz w:val="22"/>
                <w:szCs w:val="22"/>
              </w:rPr>
              <w:t>. образования Рос. Федерации, С.-</w:t>
            </w:r>
            <w:proofErr w:type="spellStart"/>
            <w:r w:rsidRPr="00B22420">
              <w:rPr>
                <w:sz w:val="22"/>
                <w:szCs w:val="22"/>
              </w:rPr>
              <w:t>Петерб</w:t>
            </w:r>
            <w:proofErr w:type="spellEnd"/>
            <w:r w:rsidRPr="00B22420">
              <w:rPr>
                <w:sz w:val="22"/>
                <w:szCs w:val="22"/>
              </w:rPr>
              <w:t xml:space="preserve">. гос. </w:t>
            </w:r>
            <w:proofErr w:type="spellStart"/>
            <w:r w:rsidRPr="00B22420">
              <w:rPr>
                <w:sz w:val="22"/>
                <w:szCs w:val="22"/>
              </w:rPr>
              <w:t>экон</w:t>
            </w:r>
            <w:proofErr w:type="spellEnd"/>
            <w:r w:rsidRPr="00B22420">
              <w:rPr>
                <w:sz w:val="22"/>
                <w:szCs w:val="22"/>
              </w:rPr>
              <w:t xml:space="preserve">. </w:t>
            </w:r>
            <w:proofErr w:type="spellStart"/>
            <w:r w:rsidRPr="00B22420">
              <w:rPr>
                <w:sz w:val="22"/>
                <w:szCs w:val="22"/>
              </w:rPr>
              <w:t>ун</w:t>
            </w:r>
            <w:proofErr w:type="spellEnd"/>
            <w:r w:rsidRPr="00B22420">
              <w:rPr>
                <w:sz w:val="22"/>
                <w:szCs w:val="22"/>
              </w:rPr>
              <w:t>-</w:t>
            </w:r>
            <w:proofErr w:type="spellStart"/>
            <w:r w:rsidRPr="00B22420">
              <w:rPr>
                <w:sz w:val="22"/>
                <w:szCs w:val="22"/>
              </w:rPr>
              <w:t>тСанкт</w:t>
            </w:r>
            <w:proofErr w:type="spellEnd"/>
            <w:r w:rsidRPr="00B22420">
              <w:rPr>
                <w:sz w:val="22"/>
                <w:szCs w:val="22"/>
              </w:rPr>
              <w:t>-</w:t>
            </w:r>
            <w:proofErr w:type="gramStart"/>
            <w:r w:rsidRPr="00B22420">
              <w:rPr>
                <w:sz w:val="22"/>
                <w:szCs w:val="22"/>
              </w:rPr>
              <w:t>Петербург :</w:t>
            </w:r>
            <w:proofErr w:type="gramEnd"/>
            <w:r w:rsidRPr="00B22420">
              <w:rPr>
                <w:sz w:val="22"/>
                <w:szCs w:val="22"/>
              </w:rPr>
              <w:t xml:space="preserve"> Изд-во </w:t>
            </w:r>
            <w:proofErr w:type="spellStart"/>
            <w:r w:rsidRPr="00B22420">
              <w:rPr>
                <w:sz w:val="22"/>
                <w:szCs w:val="22"/>
              </w:rPr>
              <w:t>СПбГЭУ</w:t>
            </w:r>
            <w:proofErr w:type="spellEnd"/>
            <w:r w:rsidRPr="00B22420">
              <w:rPr>
                <w:sz w:val="22"/>
                <w:szCs w:val="22"/>
              </w:rPr>
              <w:t>, 2022</w:t>
            </w:r>
          </w:p>
        </w:tc>
        <w:tc>
          <w:tcPr>
            <w:tcW w:w="1792" w:type="pct"/>
            <w:shd w:val="clear" w:color="auto" w:fill="auto"/>
          </w:tcPr>
          <w:p w14:paraId="65C49CBB" w14:textId="77777777" w:rsidR="00530A60" w:rsidRPr="00B22420" w:rsidRDefault="005C0303">
            <w:pPr>
              <w:rPr>
                <w:sz w:val="22"/>
                <w:szCs w:val="22"/>
              </w:rPr>
            </w:pPr>
            <w:hyperlink r:id="rId9" w:history="1">
              <w:r w:rsidR="00C76457" w:rsidRPr="00B22420">
                <w:rPr>
                  <w:color w:val="00008B"/>
                  <w:sz w:val="22"/>
                  <w:szCs w:val="22"/>
                  <w:u w:val="single"/>
                </w:rPr>
                <w:t>https://opac.unecon.ru/elibrar ... 0%BC%D0%B5%D0%BD%D1%822022.pdf</w:t>
              </w:r>
            </w:hyperlink>
          </w:p>
        </w:tc>
      </w:tr>
      <w:tr w:rsidR="00530A60" w:rsidRPr="00B22420" w14:paraId="055729D4" w14:textId="77777777" w:rsidTr="00B22420">
        <w:tc>
          <w:tcPr>
            <w:tcW w:w="3208" w:type="pct"/>
            <w:shd w:val="clear" w:color="auto" w:fill="auto"/>
          </w:tcPr>
          <w:p w14:paraId="02287D3C" w14:textId="77777777" w:rsidR="00530A60" w:rsidRPr="00B22420" w:rsidRDefault="00C76457">
            <w:pPr>
              <w:rPr>
                <w:sz w:val="22"/>
                <w:szCs w:val="22"/>
              </w:rPr>
            </w:pPr>
            <w:r w:rsidRPr="00B22420">
              <w:rPr>
                <w:sz w:val="22"/>
                <w:szCs w:val="22"/>
              </w:rPr>
              <w:t xml:space="preserve">Кравченко, Т. К.  Системы поддержки принятия </w:t>
            </w:r>
            <w:proofErr w:type="gramStart"/>
            <w:r w:rsidRPr="00B22420">
              <w:rPr>
                <w:sz w:val="22"/>
                <w:szCs w:val="22"/>
              </w:rPr>
              <w:t>решений :</w:t>
            </w:r>
            <w:proofErr w:type="gramEnd"/>
            <w:r w:rsidRPr="00B22420">
              <w:rPr>
                <w:sz w:val="22"/>
                <w:szCs w:val="22"/>
              </w:rPr>
              <w:t xml:space="preserve">  учебник и практикум для вузов / Т. К. Кравченко, Д. В. Исаев. —  </w:t>
            </w:r>
            <w:proofErr w:type="gramStart"/>
            <w:r w:rsidRPr="00B22420">
              <w:rPr>
                <w:sz w:val="22"/>
                <w:szCs w:val="22"/>
              </w:rPr>
              <w:t>Москва :</w:t>
            </w:r>
            <w:proofErr w:type="gramEnd"/>
            <w:r w:rsidRPr="00B22420">
              <w:rPr>
                <w:sz w:val="22"/>
                <w:szCs w:val="22"/>
              </w:rPr>
              <w:t xml:space="preserve"> Издательство </w:t>
            </w:r>
            <w:proofErr w:type="spellStart"/>
            <w:r w:rsidRPr="00B22420">
              <w:rPr>
                <w:sz w:val="22"/>
                <w:szCs w:val="22"/>
              </w:rPr>
              <w:t>Юрайт</w:t>
            </w:r>
            <w:proofErr w:type="spellEnd"/>
            <w:r w:rsidRPr="00B22420">
              <w:rPr>
                <w:sz w:val="22"/>
                <w:szCs w:val="22"/>
              </w:rPr>
              <w:t>, 2022. — 292 с.</w:t>
            </w:r>
          </w:p>
        </w:tc>
        <w:tc>
          <w:tcPr>
            <w:tcW w:w="1792" w:type="pct"/>
            <w:shd w:val="clear" w:color="auto" w:fill="auto"/>
          </w:tcPr>
          <w:p w14:paraId="665927C2" w14:textId="77777777" w:rsidR="00530A60" w:rsidRPr="00B22420" w:rsidRDefault="005C0303">
            <w:pPr>
              <w:rPr>
                <w:sz w:val="22"/>
                <w:szCs w:val="22"/>
              </w:rPr>
            </w:pPr>
            <w:hyperlink r:id="rId10" w:history="1">
              <w:r w:rsidR="00C76457" w:rsidRPr="00B22420">
                <w:rPr>
                  <w:color w:val="00008B"/>
                  <w:sz w:val="22"/>
                  <w:szCs w:val="22"/>
                  <w:u w:val="single"/>
                </w:rPr>
                <w:t xml:space="preserve">https://urait.ru/bcode/497114 </w:t>
              </w:r>
            </w:hyperlink>
          </w:p>
        </w:tc>
      </w:tr>
      <w:tr w:rsidR="00530A60" w:rsidRPr="00B22420" w14:paraId="6BED56C6" w14:textId="77777777" w:rsidTr="00B22420">
        <w:tc>
          <w:tcPr>
            <w:tcW w:w="3208" w:type="pct"/>
            <w:shd w:val="clear" w:color="auto" w:fill="auto"/>
          </w:tcPr>
          <w:p w14:paraId="7BEC6727" w14:textId="77777777" w:rsidR="00530A60" w:rsidRPr="00B22420" w:rsidRDefault="00C76457">
            <w:pPr>
              <w:rPr>
                <w:sz w:val="22"/>
                <w:szCs w:val="22"/>
              </w:rPr>
            </w:pPr>
            <w:r w:rsidRPr="00B22420">
              <w:rPr>
                <w:sz w:val="22"/>
                <w:szCs w:val="22"/>
              </w:rPr>
              <w:t xml:space="preserve">Громов, А. И.  Управление бизнес-процессами: </w:t>
            </w:r>
            <w:proofErr w:type="gramStart"/>
            <w:r w:rsidRPr="00B22420">
              <w:rPr>
                <w:sz w:val="22"/>
                <w:szCs w:val="22"/>
              </w:rPr>
              <w:t>современные  методы</w:t>
            </w:r>
            <w:proofErr w:type="gramEnd"/>
            <w:r w:rsidRPr="00B22420">
              <w:rPr>
                <w:sz w:val="22"/>
                <w:szCs w:val="22"/>
              </w:rPr>
              <w:t xml:space="preserve"> : монография / А. И. Громов, А. </w:t>
            </w:r>
            <w:proofErr w:type="spellStart"/>
            <w:r w:rsidRPr="00B22420">
              <w:rPr>
                <w:sz w:val="22"/>
                <w:szCs w:val="22"/>
              </w:rPr>
              <w:t>Фляйшман</w:t>
            </w:r>
            <w:proofErr w:type="spellEnd"/>
            <w:r w:rsidRPr="00B22420">
              <w:rPr>
                <w:sz w:val="22"/>
                <w:szCs w:val="22"/>
              </w:rPr>
              <w:t xml:space="preserve">, В. Шмидт ;  под редакцией А. И. Громова. — </w:t>
            </w:r>
            <w:proofErr w:type="gramStart"/>
            <w:r w:rsidRPr="00B22420">
              <w:rPr>
                <w:sz w:val="22"/>
                <w:szCs w:val="22"/>
              </w:rPr>
              <w:t>Москва :</w:t>
            </w:r>
            <w:proofErr w:type="gramEnd"/>
            <w:r w:rsidRPr="00B22420">
              <w:rPr>
                <w:sz w:val="22"/>
                <w:szCs w:val="22"/>
              </w:rPr>
              <w:t xml:space="preserve"> Издательство </w:t>
            </w:r>
            <w:proofErr w:type="spellStart"/>
            <w:r w:rsidRPr="00B22420">
              <w:rPr>
                <w:sz w:val="22"/>
                <w:szCs w:val="22"/>
              </w:rPr>
              <w:t>Юрайт</w:t>
            </w:r>
            <w:proofErr w:type="spellEnd"/>
            <w:r w:rsidRPr="00B22420">
              <w:rPr>
                <w:sz w:val="22"/>
                <w:szCs w:val="22"/>
              </w:rPr>
              <w:t>,  2022. — 367 с.</w:t>
            </w:r>
          </w:p>
        </w:tc>
        <w:tc>
          <w:tcPr>
            <w:tcW w:w="1792" w:type="pct"/>
            <w:shd w:val="clear" w:color="auto" w:fill="auto"/>
          </w:tcPr>
          <w:p w14:paraId="373E4BC3" w14:textId="77777777" w:rsidR="00530A60" w:rsidRPr="00B22420" w:rsidRDefault="005C0303">
            <w:pPr>
              <w:rPr>
                <w:sz w:val="22"/>
                <w:szCs w:val="22"/>
              </w:rPr>
            </w:pPr>
            <w:hyperlink r:id="rId11" w:history="1">
              <w:r w:rsidR="00C76457" w:rsidRPr="00B22420">
                <w:rPr>
                  <w:color w:val="00008B"/>
                  <w:sz w:val="22"/>
                  <w:szCs w:val="22"/>
                  <w:u w:val="single"/>
                </w:rPr>
                <w:t xml:space="preserve">https://urait.ru/bcode/489237 </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69FD4534" w14:textId="77777777" w:rsidTr="00783533">
        <w:tc>
          <w:tcPr>
            <w:tcW w:w="9337" w:type="dxa"/>
            <w:tcBorders>
              <w:top w:val="nil"/>
              <w:left w:val="nil"/>
              <w:bottom w:val="nil"/>
              <w:right w:val="nil"/>
            </w:tcBorders>
          </w:tcPr>
          <w:p w14:paraId="0B26C918"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34F708A0" w14:textId="77777777" w:rsidTr="00783533">
        <w:tc>
          <w:tcPr>
            <w:tcW w:w="9337" w:type="dxa"/>
            <w:tcBorders>
              <w:top w:val="nil"/>
              <w:left w:val="nil"/>
              <w:bottom w:val="nil"/>
              <w:right w:val="nil"/>
            </w:tcBorders>
          </w:tcPr>
          <w:p w14:paraId="3454D187"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5E881B7A" w14:textId="77777777" w:rsidTr="00783533">
        <w:tc>
          <w:tcPr>
            <w:tcW w:w="9337" w:type="dxa"/>
            <w:tcBorders>
              <w:top w:val="nil"/>
              <w:left w:val="nil"/>
              <w:bottom w:val="nil"/>
              <w:right w:val="nil"/>
            </w:tcBorders>
          </w:tcPr>
          <w:p w14:paraId="0412C123"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718A7D6A" w14:textId="77777777" w:rsidTr="00783533">
        <w:tc>
          <w:tcPr>
            <w:tcW w:w="9337" w:type="dxa"/>
            <w:tcBorders>
              <w:top w:val="nil"/>
              <w:left w:val="nil"/>
              <w:bottom w:val="nil"/>
              <w:right w:val="nil"/>
            </w:tcBorders>
          </w:tcPr>
          <w:p w14:paraId="26930744"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2"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3"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5C0303" w:rsidP="009E28D5">
            <w:hyperlink r:id="rId14"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lastRenderedPageBreak/>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5"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B22420">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130"/>
      </w:tblGrid>
      <w:tr w:rsidR="0065641B" w:rsidRPr="0065641B" w14:paraId="111BDC10" w14:textId="77777777" w:rsidTr="00B22420">
        <w:tc>
          <w:tcPr>
            <w:tcW w:w="6232" w:type="dxa"/>
            <w:shd w:val="clear" w:color="auto" w:fill="auto"/>
          </w:tcPr>
          <w:p w14:paraId="37B261DC" w14:textId="77777777" w:rsidR="00EE504A" w:rsidRPr="00B22420" w:rsidRDefault="00EE504A" w:rsidP="00BA48A8">
            <w:pPr>
              <w:pStyle w:val="Default"/>
              <w:jc w:val="center"/>
              <w:rPr>
                <w:b/>
                <w:color w:val="auto"/>
                <w:sz w:val="22"/>
                <w:szCs w:val="22"/>
              </w:rPr>
            </w:pPr>
            <w:r w:rsidRPr="00B22420">
              <w:rPr>
                <w:b/>
                <w:color w:val="auto"/>
                <w:sz w:val="22"/>
                <w:szCs w:val="22"/>
              </w:rPr>
              <w:t>Наименование учебных аудиторий, перечень оборудования и технических средств обучения</w:t>
            </w:r>
          </w:p>
        </w:tc>
        <w:tc>
          <w:tcPr>
            <w:tcW w:w="3130" w:type="dxa"/>
            <w:shd w:val="clear" w:color="auto" w:fill="auto"/>
          </w:tcPr>
          <w:p w14:paraId="5160FECD" w14:textId="77777777" w:rsidR="00EE504A" w:rsidRPr="00B22420" w:rsidRDefault="00EE504A" w:rsidP="00BA48A8">
            <w:pPr>
              <w:pStyle w:val="Default"/>
              <w:jc w:val="center"/>
              <w:rPr>
                <w:b/>
                <w:color w:val="auto"/>
                <w:sz w:val="22"/>
                <w:szCs w:val="22"/>
              </w:rPr>
            </w:pPr>
            <w:r w:rsidRPr="00B22420">
              <w:rPr>
                <w:b/>
                <w:color w:val="auto"/>
                <w:sz w:val="22"/>
                <w:szCs w:val="22"/>
              </w:rPr>
              <w:t>Адрес (местоположение) учебных аудиторий</w:t>
            </w:r>
          </w:p>
        </w:tc>
      </w:tr>
      <w:tr w:rsidR="00EE504A" w:rsidRPr="0065641B" w14:paraId="1B8E9F61" w14:textId="77777777" w:rsidTr="00B22420">
        <w:tc>
          <w:tcPr>
            <w:tcW w:w="6232" w:type="dxa"/>
            <w:shd w:val="clear" w:color="auto" w:fill="auto"/>
          </w:tcPr>
          <w:p w14:paraId="74D60044" w14:textId="55090B10" w:rsidR="00EE504A" w:rsidRPr="00B22420" w:rsidRDefault="00783533" w:rsidP="00BA48A8">
            <w:pPr>
              <w:jc w:val="both"/>
              <w:rPr>
                <w:sz w:val="22"/>
                <w:szCs w:val="22"/>
              </w:rPr>
            </w:pPr>
            <w:r w:rsidRPr="00B22420">
              <w:rPr>
                <w:sz w:val="22"/>
                <w:szCs w:val="22"/>
              </w:rPr>
              <w:t>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B22420">
              <w:rPr>
                <w:sz w:val="22"/>
                <w:szCs w:val="22"/>
              </w:rPr>
              <w:t xml:space="preserve"> </w:t>
            </w:r>
            <w:r w:rsidRPr="00B22420">
              <w:rPr>
                <w:sz w:val="22"/>
                <w:szCs w:val="22"/>
              </w:rPr>
              <w:t xml:space="preserve">Специализированная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B22420">
              <w:rPr>
                <w:sz w:val="22"/>
                <w:szCs w:val="22"/>
                <w:lang w:val="en-US"/>
              </w:rPr>
              <w:t>HP</w:t>
            </w:r>
            <w:r w:rsidRPr="00B22420">
              <w:rPr>
                <w:sz w:val="22"/>
                <w:szCs w:val="22"/>
              </w:rPr>
              <w:t xml:space="preserve"> 250 </w:t>
            </w:r>
            <w:r w:rsidRPr="00B22420">
              <w:rPr>
                <w:sz w:val="22"/>
                <w:szCs w:val="22"/>
                <w:lang w:val="en-US"/>
              </w:rPr>
              <w:t>G</w:t>
            </w:r>
            <w:r w:rsidRPr="00B22420">
              <w:rPr>
                <w:sz w:val="22"/>
                <w:szCs w:val="22"/>
              </w:rPr>
              <w:t>6 1</w:t>
            </w:r>
            <w:r w:rsidRPr="00B22420">
              <w:rPr>
                <w:sz w:val="22"/>
                <w:szCs w:val="22"/>
                <w:lang w:val="en-US"/>
              </w:rPr>
              <w:t>WY</w:t>
            </w:r>
            <w:r w:rsidRPr="00B22420">
              <w:rPr>
                <w:sz w:val="22"/>
                <w:szCs w:val="22"/>
              </w:rPr>
              <w:t>58</w:t>
            </w:r>
            <w:r w:rsidRPr="00B22420">
              <w:rPr>
                <w:sz w:val="22"/>
                <w:szCs w:val="22"/>
                <w:lang w:val="en-US"/>
              </w:rPr>
              <w:t>EA</w:t>
            </w:r>
            <w:r w:rsidRPr="00B22420">
              <w:rPr>
                <w:sz w:val="22"/>
                <w:szCs w:val="22"/>
              </w:rPr>
              <w:t xml:space="preserve">, Мультимедийный проектор </w:t>
            </w:r>
            <w:r w:rsidRPr="00B22420">
              <w:rPr>
                <w:sz w:val="22"/>
                <w:szCs w:val="22"/>
                <w:lang w:val="en-US"/>
              </w:rPr>
              <w:t>LG</w:t>
            </w:r>
            <w:r w:rsidRPr="00B22420">
              <w:rPr>
                <w:sz w:val="22"/>
                <w:szCs w:val="22"/>
              </w:rPr>
              <w:t xml:space="preserve"> </w:t>
            </w:r>
            <w:r w:rsidRPr="00B22420">
              <w:rPr>
                <w:sz w:val="22"/>
                <w:szCs w:val="22"/>
                <w:lang w:val="en-US"/>
              </w:rPr>
              <w:t>PF</w:t>
            </w:r>
            <w:r w:rsidRPr="00B22420">
              <w:rPr>
                <w:sz w:val="22"/>
                <w:szCs w:val="22"/>
              </w:rPr>
              <w:t>1500</w:t>
            </w:r>
            <w:r w:rsidRPr="00B22420">
              <w:rPr>
                <w:sz w:val="22"/>
                <w:szCs w:val="22"/>
                <w:lang w:val="en-US"/>
              </w:rPr>
              <w:t>G</w:t>
            </w:r>
            <w:r w:rsidRPr="00B2242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30" w:type="dxa"/>
            <w:shd w:val="clear" w:color="auto" w:fill="auto"/>
          </w:tcPr>
          <w:p w14:paraId="50D52238" w14:textId="77777777" w:rsidR="00EE504A" w:rsidRPr="00B22420" w:rsidRDefault="00783533" w:rsidP="00BA48A8">
            <w:pPr>
              <w:jc w:val="both"/>
              <w:rPr>
                <w:sz w:val="22"/>
                <w:szCs w:val="22"/>
              </w:rPr>
            </w:pPr>
            <w:r w:rsidRPr="00B22420">
              <w:rPr>
                <w:sz w:val="22"/>
                <w:szCs w:val="22"/>
              </w:rPr>
              <w:t>191023, г. Санкт-Петербург, ул. Канал Грибоедова, 30/32, литер «А», «Б», «Р»</w:t>
            </w:r>
          </w:p>
        </w:tc>
      </w:tr>
      <w:tr w:rsidR="00EE504A" w:rsidRPr="0065641B" w14:paraId="724ADE05" w14:textId="77777777" w:rsidTr="00B22420">
        <w:tc>
          <w:tcPr>
            <w:tcW w:w="6232" w:type="dxa"/>
            <w:shd w:val="clear" w:color="auto" w:fill="auto"/>
          </w:tcPr>
          <w:p w14:paraId="68FA30CF" w14:textId="56FA43BF" w:rsidR="00EE504A" w:rsidRPr="00B22420" w:rsidRDefault="00783533" w:rsidP="00BA48A8">
            <w:pPr>
              <w:jc w:val="both"/>
              <w:rPr>
                <w:sz w:val="22"/>
                <w:szCs w:val="22"/>
              </w:rPr>
            </w:pPr>
            <w:r w:rsidRPr="00B22420">
              <w:rPr>
                <w:sz w:val="22"/>
                <w:szCs w:val="22"/>
              </w:rPr>
              <w:t>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B22420">
              <w:rPr>
                <w:sz w:val="22"/>
                <w:szCs w:val="22"/>
              </w:rPr>
              <w:t xml:space="preserve"> </w:t>
            </w:r>
            <w:r w:rsidRPr="00B22420">
              <w:rPr>
                <w:sz w:val="22"/>
                <w:szCs w:val="22"/>
              </w:rPr>
              <w:t xml:space="preserve">Специализированная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B22420">
              <w:rPr>
                <w:sz w:val="22"/>
                <w:szCs w:val="22"/>
                <w:lang w:val="en-US"/>
              </w:rPr>
              <w:t>Intel</w:t>
            </w:r>
            <w:r w:rsidRPr="00B22420">
              <w:rPr>
                <w:sz w:val="22"/>
                <w:szCs w:val="22"/>
              </w:rPr>
              <w:t xml:space="preserve"> </w:t>
            </w:r>
            <w:proofErr w:type="spellStart"/>
            <w:r w:rsidRPr="00B22420">
              <w:rPr>
                <w:sz w:val="22"/>
                <w:szCs w:val="22"/>
                <w:lang w:val="en-US"/>
              </w:rPr>
              <w:t>i</w:t>
            </w:r>
            <w:proofErr w:type="spellEnd"/>
            <w:r w:rsidRPr="00B22420">
              <w:rPr>
                <w:sz w:val="22"/>
                <w:szCs w:val="22"/>
              </w:rPr>
              <w:t xml:space="preserve">3-2100 2.4 </w:t>
            </w:r>
            <w:proofErr w:type="spellStart"/>
            <w:r w:rsidRPr="00B22420">
              <w:rPr>
                <w:sz w:val="22"/>
                <w:szCs w:val="22"/>
                <w:lang w:val="en-US"/>
              </w:rPr>
              <w:t>Ghz</w:t>
            </w:r>
            <w:proofErr w:type="spellEnd"/>
            <w:r w:rsidRPr="00B22420">
              <w:rPr>
                <w:sz w:val="22"/>
                <w:szCs w:val="22"/>
              </w:rPr>
              <w:t>/500/4/</w:t>
            </w:r>
            <w:r w:rsidRPr="00B22420">
              <w:rPr>
                <w:sz w:val="22"/>
                <w:szCs w:val="22"/>
                <w:lang w:val="en-US"/>
              </w:rPr>
              <w:t>Acer</w:t>
            </w:r>
            <w:r w:rsidRPr="00B22420">
              <w:rPr>
                <w:sz w:val="22"/>
                <w:szCs w:val="22"/>
              </w:rPr>
              <w:t xml:space="preserve"> </w:t>
            </w:r>
            <w:r w:rsidRPr="00B22420">
              <w:rPr>
                <w:sz w:val="22"/>
                <w:szCs w:val="22"/>
                <w:lang w:val="en-US"/>
              </w:rPr>
              <w:t>V</w:t>
            </w:r>
            <w:r w:rsidRPr="00B22420">
              <w:rPr>
                <w:sz w:val="22"/>
                <w:szCs w:val="22"/>
              </w:rPr>
              <w:t xml:space="preserve">193 19" - 1 шт.,  Экран с электроприводом </w:t>
            </w:r>
            <w:proofErr w:type="spellStart"/>
            <w:r w:rsidRPr="00B22420">
              <w:rPr>
                <w:sz w:val="22"/>
                <w:szCs w:val="22"/>
                <w:lang w:val="en-US"/>
              </w:rPr>
              <w:t>ScreenMedia</w:t>
            </w:r>
            <w:proofErr w:type="spellEnd"/>
            <w:r w:rsidRPr="00B22420">
              <w:rPr>
                <w:sz w:val="22"/>
                <w:szCs w:val="22"/>
              </w:rPr>
              <w:t xml:space="preserve"> </w:t>
            </w:r>
            <w:r w:rsidRPr="00B22420">
              <w:rPr>
                <w:sz w:val="22"/>
                <w:szCs w:val="22"/>
                <w:lang w:val="en-US"/>
              </w:rPr>
              <w:t>Champion</w:t>
            </w:r>
            <w:r w:rsidRPr="00B22420">
              <w:rPr>
                <w:sz w:val="22"/>
                <w:szCs w:val="22"/>
              </w:rPr>
              <w:t xml:space="preserve"> 244х183см (</w:t>
            </w:r>
            <w:r w:rsidRPr="00B22420">
              <w:rPr>
                <w:sz w:val="22"/>
                <w:szCs w:val="22"/>
                <w:lang w:val="en-US"/>
              </w:rPr>
              <w:t>SCM</w:t>
            </w:r>
            <w:r w:rsidRPr="00B22420">
              <w:rPr>
                <w:sz w:val="22"/>
                <w:szCs w:val="22"/>
              </w:rPr>
              <w:t xml:space="preserve">-4304) - 1 шт., Стол преподавателя - 1 шт., Мультимедийный проектор Тип 2 </w:t>
            </w:r>
            <w:r w:rsidRPr="00B22420">
              <w:rPr>
                <w:sz w:val="22"/>
                <w:szCs w:val="22"/>
                <w:lang w:val="en-US"/>
              </w:rPr>
              <w:t>Panasonic</w:t>
            </w:r>
            <w:r w:rsidRPr="00B22420">
              <w:rPr>
                <w:sz w:val="22"/>
                <w:szCs w:val="22"/>
              </w:rPr>
              <w:t xml:space="preserve"> </w:t>
            </w:r>
            <w:r w:rsidRPr="00B22420">
              <w:rPr>
                <w:sz w:val="22"/>
                <w:szCs w:val="22"/>
                <w:lang w:val="en-US"/>
              </w:rPr>
              <w:t>PT</w:t>
            </w:r>
            <w:r w:rsidRPr="00B22420">
              <w:rPr>
                <w:sz w:val="22"/>
                <w:szCs w:val="22"/>
              </w:rPr>
              <w:t>-</w:t>
            </w:r>
            <w:r w:rsidRPr="00B22420">
              <w:rPr>
                <w:sz w:val="22"/>
                <w:szCs w:val="22"/>
                <w:lang w:val="en-US"/>
              </w:rPr>
              <w:t>VX</w:t>
            </w:r>
            <w:r w:rsidRPr="00B22420">
              <w:rPr>
                <w:sz w:val="22"/>
                <w:szCs w:val="22"/>
              </w:rPr>
              <w:t xml:space="preserve">610Е - 1 шт., Микшер-усилитель ТА-1120 - 1 шт., Колонки </w:t>
            </w:r>
            <w:r w:rsidRPr="00B22420">
              <w:rPr>
                <w:sz w:val="22"/>
                <w:szCs w:val="22"/>
                <w:lang w:val="en-US"/>
              </w:rPr>
              <w:t>Hi</w:t>
            </w:r>
            <w:r w:rsidRPr="00B22420">
              <w:rPr>
                <w:sz w:val="22"/>
                <w:szCs w:val="22"/>
              </w:rPr>
              <w:t>-</w:t>
            </w:r>
            <w:r w:rsidRPr="00B22420">
              <w:rPr>
                <w:sz w:val="22"/>
                <w:szCs w:val="22"/>
                <w:lang w:val="en-US"/>
              </w:rPr>
              <w:t>Fi</w:t>
            </w:r>
            <w:r w:rsidRPr="00B22420">
              <w:rPr>
                <w:sz w:val="22"/>
                <w:szCs w:val="22"/>
              </w:rPr>
              <w:t xml:space="preserve"> </w:t>
            </w:r>
            <w:r w:rsidRPr="00B22420">
              <w:rPr>
                <w:sz w:val="22"/>
                <w:szCs w:val="22"/>
                <w:lang w:val="en-US"/>
              </w:rPr>
              <w:t>PRO</w:t>
            </w:r>
            <w:r w:rsidRPr="00B22420">
              <w:rPr>
                <w:sz w:val="22"/>
                <w:szCs w:val="22"/>
              </w:rPr>
              <w:t xml:space="preserve"> </w:t>
            </w:r>
            <w:r w:rsidRPr="00B22420">
              <w:rPr>
                <w:sz w:val="22"/>
                <w:szCs w:val="22"/>
                <w:lang w:val="en-US"/>
              </w:rPr>
              <w:t>MASKGT</w:t>
            </w:r>
            <w:r w:rsidRPr="00B22420">
              <w:rPr>
                <w:sz w:val="22"/>
                <w:szCs w:val="22"/>
              </w:rPr>
              <w:t>-</w:t>
            </w:r>
            <w:r w:rsidRPr="00B22420">
              <w:rPr>
                <w:sz w:val="22"/>
                <w:szCs w:val="22"/>
                <w:lang w:val="en-US"/>
              </w:rPr>
              <w:t>W</w:t>
            </w:r>
            <w:r w:rsidRPr="00B22420">
              <w:rPr>
                <w:sz w:val="22"/>
                <w:szCs w:val="22"/>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30" w:type="dxa"/>
            <w:shd w:val="clear" w:color="auto" w:fill="auto"/>
          </w:tcPr>
          <w:p w14:paraId="612F6537" w14:textId="77777777" w:rsidR="00EE504A" w:rsidRPr="00B22420" w:rsidRDefault="00783533" w:rsidP="00BA48A8">
            <w:pPr>
              <w:jc w:val="both"/>
              <w:rPr>
                <w:sz w:val="22"/>
                <w:szCs w:val="22"/>
              </w:rPr>
            </w:pPr>
            <w:r w:rsidRPr="00B22420">
              <w:rPr>
                <w:sz w:val="22"/>
                <w:szCs w:val="22"/>
              </w:rPr>
              <w:t>191023, г. Санкт-Петербург, ул. Канал Грибоедова, 30/32, литер «А», «Б», «Р»</w:t>
            </w:r>
          </w:p>
        </w:tc>
      </w:tr>
      <w:tr w:rsidR="00EE504A" w:rsidRPr="0065641B" w14:paraId="00FCC0F6" w14:textId="77777777" w:rsidTr="00B22420">
        <w:tc>
          <w:tcPr>
            <w:tcW w:w="6232" w:type="dxa"/>
            <w:shd w:val="clear" w:color="auto" w:fill="auto"/>
          </w:tcPr>
          <w:p w14:paraId="3D346D5D" w14:textId="5A05D58B" w:rsidR="00EE504A" w:rsidRPr="00B22420" w:rsidRDefault="00783533" w:rsidP="00BA48A8">
            <w:pPr>
              <w:jc w:val="both"/>
              <w:rPr>
                <w:sz w:val="22"/>
                <w:szCs w:val="22"/>
              </w:rPr>
            </w:pPr>
            <w:r w:rsidRPr="00B22420">
              <w:rPr>
                <w:sz w:val="22"/>
                <w:szCs w:val="22"/>
              </w:rPr>
              <w:t>Ауд. 2082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B22420">
              <w:rPr>
                <w:sz w:val="22"/>
                <w:szCs w:val="22"/>
              </w:rPr>
              <w:t xml:space="preserve"> </w:t>
            </w:r>
            <w:r w:rsidRPr="00B22420">
              <w:rPr>
                <w:sz w:val="22"/>
                <w:szCs w:val="22"/>
              </w:rPr>
              <w:t xml:space="preserve">Специализированная  мебель и оборудование: Учебная мебель на 54 посадочных места, рабочее место преподавателя, доска маркерная - 1 шт., стол - 1 шт., стул - 2 шт., Компьютер </w:t>
            </w:r>
            <w:r w:rsidRPr="00B22420">
              <w:rPr>
                <w:sz w:val="22"/>
                <w:szCs w:val="22"/>
                <w:lang w:val="en-US"/>
              </w:rPr>
              <w:t>Intel</w:t>
            </w:r>
            <w:r w:rsidRPr="00B22420">
              <w:rPr>
                <w:sz w:val="22"/>
                <w:szCs w:val="22"/>
              </w:rPr>
              <w:t xml:space="preserve"> </w:t>
            </w:r>
            <w:proofErr w:type="spellStart"/>
            <w:r w:rsidRPr="00B22420">
              <w:rPr>
                <w:sz w:val="22"/>
                <w:szCs w:val="22"/>
                <w:lang w:val="en-US"/>
              </w:rPr>
              <w:t>i</w:t>
            </w:r>
            <w:proofErr w:type="spellEnd"/>
            <w:r w:rsidRPr="00B22420">
              <w:rPr>
                <w:sz w:val="22"/>
                <w:szCs w:val="22"/>
              </w:rPr>
              <w:t xml:space="preserve">3-2100 2.4 </w:t>
            </w:r>
            <w:proofErr w:type="spellStart"/>
            <w:r w:rsidRPr="00B22420">
              <w:rPr>
                <w:sz w:val="22"/>
                <w:szCs w:val="22"/>
                <w:lang w:val="en-US"/>
              </w:rPr>
              <w:t>Ghz</w:t>
            </w:r>
            <w:proofErr w:type="spellEnd"/>
            <w:r w:rsidRPr="00B22420">
              <w:rPr>
                <w:sz w:val="22"/>
                <w:szCs w:val="22"/>
              </w:rPr>
              <w:t>/500/4/</w:t>
            </w:r>
            <w:r w:rsidRPr="00B22420">
              <w:rPr>
                <w:sz w:val="22"/>
                <w:szCs w:val="22"/>
                <w:lang w:val="en-US"/>
              </w:rPr>
              <w:t>Acer</w:t>
            </w:r>
            <w:r w:rsidRPr="00B22420">
              <w:rPr>
                <w:sz w:val="22"/>
                <w:szCs w:val="22"/>
              </w:rPr>
              <w:t xml:space="preserve"> </w:t>
            </w:r>
            <w:r w:rsidRPr="00B22420">
              <w:rPr>
                <w:sz w:val="22"/>
                <w:szCs w:val="22"/>
                <w:lang w:val="en-US"/>
              </w:rPr>
              <w:t>V</w:t>
            </w:r>
            <w:r w:rsidRPr="00B22420">
              <w:rPr>
                <w:sz w:val="22"/>
                <w:szCs w:val="22"/>
              </w:rPr>
              <w:t xml:space="preserve">193 19" - 1 шт., </w:t>
            </w:r>
            <w:r w:rsidRPr="00B22420">
              <w:rPr>
                <w:sz w:val="22"/>
                <w:szCs w:val="22"/>
              </w:rPr>
              <w:lastRenderedPageBreak/>
              <w:t xml:space="preserve">Интерактивный проектор </w:t>
            </w:r>
            <w:r w:rsidRPr="00B22420">
              <w:rPr>
                <w:sz w:val="22"/>
                <w:szCs w:val="22"/>
                <w:lang w:val="en-US"/>
              </w:rPr>
              <w:t>Epson</w:t>
            </w:r>
            <w:r w:rsidRPr="00B22420">
              <w:rPr>
                <w:sz w:val="22"/>
                <w:szCs w:val="22"/>
              </w:rPr>
              <w:t xml:space="preserve"> ЕВ 455 - 1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30" w:type="dxa"/>
            <w:shd w:val="clear" w:color="auto" w:fill="auto"/>
          </w:tcPr>
          <w:p w14:paraId="1F5452E4" w14:textId="77777777" w:rsidR="00EE504A" w:rsidRPr="00B22420" w:rsidRDefault="00783533" w:rsidP="00BA48A8">
            <w:pPr>
              <w:jc w:val="both"/>
              <w:rPr>
                <w:sz w:val="22"/>
                <w:szCs w:val="22"/>
              </w:rPr>
            </w:pPr>
            <w:r w:rsidRPr="00B22420">
              <w:rPr>
                <w:sz w:val="22"/>
                <w:szCs w:val="22"/>
              </w:rPr>
              <w:lastRenderedPageBreak/>
              <w:t>191023, г. Санкт-Петербург, ул. Канал Грибоедова, 30/32, литер «А», «Б», «Р»</w:t>
            </w:r>
          </w:p>
        </w:tc>
      </w:tr>
      <w:tr w:rsidR="00EE504A" w:rsidRPr="0065641B" w14:paraId="5BF6935F" w14:textId="77777777" w:rsidTr="00B22420">
        <w:tc>
          <w:tcPr>
            <w:tcW w:w="6232" w:type="dxa"/>
            <w:shd w:val="clear" w:color="auto" w:fill="auto"/>
          </w:tcPr>
          <w:p w14:paraId="7B833F75" w14:textId="2CDE2990" w:rsidR="00EE504A" w:rsidRPr="00B22420" w:rsidRDefault="00783533" w:rsidP="00BA48A8">
            <w:pPr>
              <w:jc w:val="both"/>
              <w:rPr>
                <w:sz w:val="22"/>
                <w:szCs w:val="22"/>
              </w:rPr>
            </w:pPr>
            <w:r w:rsidRPr="00B22420">
              <w:rPr>
                <w:sz w:val="22"/>
                <w:szCs w:val="22"/>
              </w:rPr>
              <w:t>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r w:rsidR="00B22420">
              <w:rPr>
                <w:sz w:val="22"/>
                <w:szCs w:val="22"/>
              </w:rPr>
              <w:t xml:space="preserve"> </w:t>
            </w:r>
            <w:r w:rsidRPr="00B22420">
              <w:rPr>
                <w:sz w:val="22"/>
                <w:szCs w:val="22"/>
              </w:rPr>
              <w:t xml:space="preserve">Специализированная  мебель и оборудование: Учебная мебель на 25 посадочных мест, рабочее место преподавателя (стол 1шт., кресло 1шт.), доска маркерная на колесиках 1 шт., маркерная доска на ножках 1шт., вешалки стойки 1шт., стол 2шт., стульев 4шт., доска </w:t>
            </w:r>
            <w:proofErr w:type="spellStart"/>
            <w:r w:rsidRPr="00B22420">
              <w:rPr>
                <w:sz w:val="22"/>
                <w:szCs w:val="22"/>
              </w:rPr>
              <w:t>обьявлений</w:t>
            </w:r>
            <w:proofErr w:type="spellEnd"/>
            <w:r w:rsidRPr="00B22420">
              <w:rPr>
                <w:sz w:val="22"/>
                <w:szCs w:val="22"/>
              </w:rPr>
              <w:t xml:space="preserve"> 1шт., жалюзи 2шт., Компьютер </w:t>
            </w:r>
            <w:r w:rsidRPr="00B22420">
              <w:rPr>
                <w:sz w:val="22"/>
                <w:szCs w:val="22"/>
                <w:lang w:val="en-US"/>
              </w:rPr>
              <w:t>Intel</w:t>
            </w:r>
            <w:r w:rsidRPr="00B22420">
              <w:rPr>
                <w:sz w:val="22"/>
                <w:szCs w:val="22"/>
              </w:rPr>
              <w:t xml:space="preserve"> </w:t>
            </w:r>
            <w:r w:rsidRPr="00B22420">
              <w:rPr>
                <w:sz w:val="22"/>
                <w:szCs w:val="22"/>
                <w:lang w:val="en-US"/>
              </w:rPr>
              <w:t>I</w:t>
            </w:r>
            <w:r w:rsidRPr="00B22420">
              <w:rPr>
                <w:sz w:val="22"/>
                <w:szCs w:val="22"/>
              </w:rPr>
              <w:t>5-7400/16</w:t>
            </w:r>
            <w:r w:rsidRPr="00B22420">
              <w:rPr>
                <w:sz w:val="22"/>
                <w:szCs w:val="22"/>
                <w:lang w:val="en-US"/>
              </w:rPr>
              <w:t>Gb</w:t>
            </w:r>
            <w:r w:rsidRPr="00B22420">
              <w:rPr>
                <w:sz w:val="22"/>
                <w:szCs w:val="22"/>
              </w:rPr>
              <w:t>/1</w:t>
            </w:r>
            <w:r w:rsidRPr="00B22420">
              <w:rPr>
                <w:sz w:val="22"/>
                <w:szCs w:val="22"/>
                <w:lang w:val="en-US"/>
              </w:rPr>
              <w:t>Tb</w:t>
            </w:r>
            <w:r w:rsidRPr="00B22420">
              <w:rPr>
                <w:sz w:val="22"/>
                <w:szCs w:val="22"/>
              </w:rPr>
              <w:t xml:space="preserve">/ видеокарта </w:t>
            </w:r>
            <w:r w:rsidRPr="00B22420">
              <w:rPr>
                <w:sz w:val="22"/>
                <w:szCs w:val="22"/>
                <w:lang w:val="en-US"/>
              </w:rPr>
              <w:t>NVIDIA</w:t>
            </w:r>
            <w:r w:rsidRPr="00B22420">
              <w:rPr>
                <w:sz w:val="22"/>
                <w:szCs w:val="22"/>
              </w:rPr>
              <w:t xml:space="preserve"> </w:t>
            </w:r>
            <w:r w:rsidRPr="00B22420">
              <w:rPr>
                <w:sz w:val="22"/>
                <w:szCs w:val="22"/>
                <w:lang w:val="en-US"/>
              </w:rPr>
              <w:t>GeForce</w:t>
            </w:r>
            <w:r w:rsidRPr="00B22420">
              <w:rPr>
                <w:sz w:val="22"/>
                <w:szCs w:val="22"/>
              </w:rPr>
              <w:t xml:space="preserve"> </w:t>
            </w:r>
            <w:r w:rsidRPr="00B22420">
              <w:rPr>
                <w:sz w:val="22"/>
                <w:szCs w:val="22"/>
                <w:lang w:val="en-US"/>
              </w:rPr>
              <w:t>GT</w:t>
            </w:r>
            <w:r w:rsidRPr="00B22420">
              <w:rPr>
                <w:sz w:val="22"/>
                <w:szCs w:val="22"/>
              </w:rPr>
              <w:t xml:space="preserve"> 710/Монитор. </w:t>
            </w:r>
            <w:r w:rsidRPr="00B22420">
              <w:rPr>
                <w:sz w:val="22"/>
                <w:szCs w:val="22"/>
                <w:lang w:val="en-US"/>
              </w:rPr>
              <w:t>DELL</w:t>
            </w:r>
            <w:r w:rsidRPr="00B22420">
              <w:rPr>
                <w:sz w:val="22"/>
                <w:szCs w:val="22"/>
              </w:rPr>
              <w:t xml:space="preserve"> </w:t>
            </w:r>
            <w:r w:rsidRPr="00B22420">
              <w:rPr>
                <w:sz w:val="22"/>
                <w:szCs w:val="22"/>
                <w:lang w:val="en-US"/>
              </w:rPr>
              <w:t>S</w:t>
            </w:r>
            <w:r w:rsidRPr="00B22420">
              <w:rPr>
                <w:sz w:val="22"/>
                <w:szCs w:val="22"/>
              </w:rPr>
              <w:t>2218</w:t>
            </w:r>
            <w:r w:rsidRPr="00B22420">
              <w:rPr>
                <w:sz w:val="22"/>
                <w:szCs w:val="22"/>
                <w:lang w:val="en-US"/>
              </w:rPr>
              <w:t>H</w:t>
            </w:r>
            <w:r w:rsidRPr="00B22420">
              <w:rPr>
                <w:sz w:val="22"/>
                <w:szCs w:val="22"/>
              </w:rPr>
              <w:t xml:space="preserve"> - 25 шт., Интерактивная доска </w:t>
            </w:r>
            <w:r w:rsidRPr="00B22420">
              <w:rPr>
                <w:sz w:val="22"/>
                <w:szCs w:val="22"/>
                <w:lang w:val="en-US"/>
              </w:rPr>
              <w:t>SMARTB</w:t>
            </w:r>
            <w:r w:rsidRPr="00B22420">
              <w:rPr>
                <w:sz w:val="22"/>
                <w:szCs w:val="22"/>
              </w:rPr>
              <w:t xml:space="preserve"> 680 - 1 шт., Шкаф телекоммуникационный настенный ЦМО ШРН-Э-6.650 - 1 шт., Коммутатор </w:t>
            </w:r>
            <w:proofErr w:type="spellStart"/>
            <w:r w:rsidRPr="00B22420">
              <w:rPr>
                <w:sz w:val="22"/>
                <w:szCs w:val="22"/>
                <w:lang w:val="en-US"/>
              </w:rPr>
              <w:t>ProCurve</w:t>
            </w:r>
            <w:proofErr w:type="spellEnd"/>
            <w:r w:rsidRPr="00B22420">
              <w:rPr>
                <w:sz w:val="22"/>
                <w:szCs w:val="22"/>
              </w:rPr>
              <w:t xml:space="preserve"> </w:t>
            </w:r>
            <w:r w:rsidRPr="00B22420">
              <w:rPr>
                <w:sz w:val="22"/>
                <w:szCs w:val="22"/>
                <w:lang w:val="en-US"/>
              </w:rPr>
              <w:t>Switch</w:t>
            </w:r>
            <w:r w:rsidRPr="00B22420">
              <w:rPr>
                <w:sz w:val="22"/>
                <w:szCs w:val="22"/>
              </w:rPr>
              <w:t xml:space="preserve"> 2626 - 1 шт., Терминальная станция тонкий клиент в составе </w:t>
            </w:r>
            <w:r w:rsidRPr="00B22420">
              <w:rPr>
                <w:sz w:val="22"/>
                <w:szCs w:val="22"/>
                <w:lang w:val="en-US"/>
              </w:rPr>
              <w:t>Sun</w:t>
            </w:r>
            <w:r w:rsidRPr="00B22420">
              <w:rPr>
                <w:sz w:val="22"/>
                <w:szCs w:val="22"/>
              </w:rPr>
              <w:t xml:space="preserve"> </w:t>
            </w:r>
            <w:r w:rsidRPr="00B22420">
              <w:rPr>
                <w:sz w:val="22"/>
                <w:szCs w:val="22"/>
                <w:lang w:val="en-US"/>
              </w:rPr>
              <w:t>Ray</w:t>
            </w:r>
            <w:r w:rsidRPr="00B22420">
              <w:rPr>
                <w:sz w:val="22"/>
                <w:szCs w:val="22"/>
              </w:rPr>
              <w:t xml:space="preserve"> 2 </w:t>
            </w:r>
            <w:r w:rsidRPr="00B22420">
              <w:rPr>
                <w:sz w:val="22"/>
                <w:szCs w:val="22"/>
                <w:lang w:val="en-US"/>
              </w:rPr>
              <w:t>client</w:t>
            </w:r>
            <w:r w:rsidRPr="00B22420">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30" w:type="dxa"/>
            <w:shd w:val="clear" w:color="auto" w:fill="auto"/>
          </w:tcPr>
          <w:p w14:paraId="75265E24" w14:textId="77777777" w:rsidR="00EE504A" w:rsidRPr="00B22420" w:rsidRDefault="00783533" w:rsidP="00BA48A8">
            <w:pPr>
              <w:jc w:val="both"/>
              <w:rPr>
                <w:sz w:val="22"/>
                <w:szCs w:val="22"/>
              </w:rPr>
            </w:pPr>
            <w:r w:rsidRPr="00B22420">
              <w:rPr>
                <w:sz w:val="22"/>
                <w:szCs w:val="22"/>
              </w:rPr>
              <w:t>191023, г. Санкт-Петербург, ул. Канал Грибоедова, 30/32, литер «А», «Б», «Р»</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чёткое соблюдение алгоритма занятия и заданий для самостоятельной работы (называние темы, постановка цели, сообщение и запись плана, выделение основных </w:t>
      </w:r>
      <w:r w:rsidRPr="0065641B">
        <w:rPr>
          <w:rFonts w:eastAsia="Calibri"/>
        </w:rPr>
        <w:lastRenderedPageBreak/>
        <w:t>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6C454AC4" w:rsidR="00710478" w:rsidRPr="00B22420" w:rsidRDefault="00710478" w:rsidP="00B22420">
            <w:pPr>
              <w:pStyle w:val="ac"/>
              <w:numPr>
                <w:ilvl w:val="0"/>
                <w:numId w:val="28"/>
              </w:numPr>
              <w:ind w:left="460" w:hanging="502"/>
              <w:jc w:val="both"/>
              <w:rPr>
                <w:rFonts w:eastAsia="Calibri"/>
              </w:rPr>
            </w:pPr>
            <w:r w:rsidRPr="00B22420">
              <w:rPr>
                <w:rFonts w:eastAsia="Calibri"/>
              </w:rPr>
              <w:t>Общая характеристика организации, вида экономической деятельности и нормативно-правовой среды.</w:t>
            </w:r>
          </w:p>
        </w:tc>
      </w:tr>
      <w:tr w:rsidR="00710478" w14:paraId="67AB9C77" w14:textId="77777777" w:rsidTr="003F74F8">
        <w:tc>
          <w:tcPr>
            <w:tcW w:w="9356" w:type="dxa"/>
          </w:tcPr>
          <w:p w14:paraId="1D808CF0" w14:textId="72D2CD9D" w:rsidR="00710478" w:rsidRPr="00B22420" w:rsidRDefault="00710478" w:rsidP="00B22420">
            <w:pPr>
              <w:pStyle w:val="ac"/>
              <w:numPr>
                <w:ilvl w:val="0"/>
                <w:numId w:val="28"/>
              </w:numPr>
              <w:ind w:left="460" w:hanging="502"/>
              <w:jc w:val="both"/>
              <w:rPr>
                <w:rFonts w:eastAsia="Calibri"/>
              </w:rPr>
            </w:pPr>
            <w:r w:rsidRPr="00B22420">
              <w:rPr>
                <w:rFonts w:eastAsia="Calibri"/>
              </w:rPr>
              <w:t>Анализ структуры управления компанией (схемы и типа структуры управления, распределения полномочий между структурными подразделениями, в том числе более подробно по предмету исследования в соответствии с темой ВКР). Анализ доступности технологий, ресурсного обеспечения. Анализ эффективности реализации программы организационных изменений.</w:t>
            </w:r>
          </w:p>
        </w:tc>
      </w:tr>
      <w:tr w:rsidR="00710478" w14:paraId="02CD288A" w14:textId="77777777" w:rsidTr="003F74F8">
        <w:tc>
          <w:tcPr>
            <w:tcW w:w="9356" w:type="dxa"/>
          </w:tcPr>
          <w:p w14:paraId="3D9E73CC" w14:textId="6519006A" w:rsidR="00710478" w:rsidRPr="00B22420" w:rsidRDefault="00710478" w:rsidP="00B22420">
            <w:pPr>
              <w:pStyle w:val="ac"/>
              <w:numPr>
                <w:ilvl w:val="0"/>
                <w:numId w:val="28"/>
              </w:numPr>
              <w:ind w:left="460" w:hanging="502"/>
              <w:jc w:val="both"/>
              <w:rPr>
                <w:rFonts w:eastAsia="Calibri"/>
              </w:rPr>
            </w:pPr>
            <w:r w:rsidRPr="00B22420">
              <w:rPr>
                <w:rFonts w:eastAsia="Calibri"/>
              </w:rPr>
              <w:t>Формирование прогноза макроэкономических индикаторов и определение их влияния на деятельность организации.</w:t>
            </w:r>
          </w:p>
        </w:tc>
      </w:tr>
      <w:tr w:rsidR="00710478" w14:paraId="69A075DD" w14:textId="77777777" w:rsidTr="003F74F8">
        <w:tc>
          <w:tcPr>
            <w:tcW w:w="9356" w:type="dxa"/>
          </w:tcPr>
          <w:p w14:paraId="1398D7EE" w14:textId="35F69CA6" w:rsidR="00710478" w:rsidRPr="00B22420" w:rsidRDefault="00710478" w:rsidP="00B22420">
            <w:pPr>
              <w:pStyle w:val="ac"/>
              <w:numPr>
                <w:ilvl w:val="0"/>
                <w:numId w:val="28"/>
              </w:numPr>
              <w:ind w:left="460" w:hanging="502"/>
              <w:jc w:val="both"/>
              <w:rPr>
                <w:rFonts w:eastAsia="Calibri"/>
              </w:rPr>
            </w:pPr>
            <w:r w:rsidRPr="00B22420">
              <w:rPr>
                <w:rFonts w:eastAsia="Calibri"/>
              </w:rPr>
              <w:t>Учет рыночной конъюнктуры и макроэкономического окружения при совершенствовании стратегии развития организации.</w:t>
            </w:r>
          </w:p>
        </w:tc>
      </w:tr>
      <w:tr w:rsidR="00710478" w14:paraId="03583418" w14:textId="77777777" w:rsidTr="003F74F8">
        <w:tc>
          <w:tcPr>
            <w:tcW w:w="9356" w:type="dxa"/>
          </w:tcPr>
          <w:p w14:paraId="4BD69D2A" w14:textId="678A683E" w:rsidR="00710478" w:rsidRPr="00B22420" w:rsidRDefault="00710478" w:rsidP="00B22420">
            <w:pPr>
              <w:pStyle w:val="ac"/>
              <w:numPr>
                <w:ilvl w:val="0"/>
                <w:numId w:val="28"/>
              </w:numPr>
              <w:ind w:left="460" w:hanging="502"/>
              <w:jc w:val="both"/>
              <w:rPr>
                <w:rFonts w:eastAsia="Calibri"/>
              </w:rPr>
            </w:pPr>
            <w:r w:rsidRPr="00B22420">
              <w:rPr>
                <w:rFonts w:eastAsia="Calibri"/>
              </w:rPr>
              <w:t>Выработка обоснованных управленческих решений по направлениям совершенствования стратегии развития организации на основе анализа данных и с учетом рисков.</w:t>
            </w:r>
          </w:p>
        </w:tc>
      </w:tr>
      <w:tr w:rsidR="00710478" w14:paraId="67C14AC1" w14:textId="77777777" w:rsidTr="003F74F8">
        <w:tc>
          <w:tcPr>
            <w:tcW w:w="9356" w:type="dxa"/>
          </w:tcPr>
          <w:p w14:paraId="69D33C68" w14:textId="2812BA81" w:rsidR="00710478" w:rsidRPr="00B22420" w:rsidRDefault="00710478" w:rsidP="00B22420">
            <w:pPr>
              <w:pStyle w:val="ac"/>
              <w:numPr>
                <w:ilvl w:val="0"/>
                <w:numId w:val="28"/>
              </w:numPr>
              <w:ind w:left="460" w:hanging="502"/>
              <w:jc w:val="both"/>
              <w:rPr>
                <w:rFonts w:eastAsia="Calibri"/>
              </w:rPr>
            </w:pPr>
            <w:r w:rsidRPr="00B22420">
              <w:rPr>
                <w:rFonts w:eastAsia="Calibri"/>
              </w:rPr>
              <w:t>Оформление отчета по производственной практике (практике по профилю профессиональной деятельности).</w:t>
            </w:r>
          </w:p>
        </w:tc>
      </w:tr>
      <w:tr w:rsidR="00710478" w14:paraId="0FC14DA2" w14:textId="77777777" w:rsidTr="003F74F8">
        <w:tc>
          <w:tcPr>
            <w:tcW w:w="9356" w:type="dxa"/>
          </w:tcPr>
          <w:p w14:paraId="7D5DBA4E" w14:textId="72F82F30" w:rsidR="00710478" w:rsidRPr="00B22420" w:rsidRDefault="00710478" w:rsidP="00B22420">
            <w:pPr>
              <w:pStyle w:val="ac"/>
              <w:numPr>
                <w:ilvl w:val="0"/>
                <w:numId w:val="28"/>
              </w:numPr>
              <w:ind w:left="460" w:hanging="502"/>
              <w:jc w:val="both"/>
              <w:rPr>
                <w:rFonts w:eastAsia="Calibri"/>
              </w:rPr>
            </w:pPr>
            <w:r w:rsidRPr="00B22420">
              <w:rPr>
                <w:rFonts w:eastAsia="Calibri"/>
              </w:rPr>
              <w:t>Подготовка презентации к отчету по производственной практике (практике по профилю профессиональной деятельности).</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lastRenderedPageBreak/>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B22420"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B22420" w:rsidRDefault="006E5421" w:rsidP="0035746E">
            <w:pPr>
              <w:jc w:val="center"/>
              <w:rPr>
                <w:b/>
                <w:sz w:val="22"/>
                <w:szCs w:val="22"/>
              </w:rPr>
            </w:pPr>
            <w:r w:rsidRPr="00B22420">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B22420" w:rsidRDefault="006E5421" w:rsidP="0035746E">
            <w:pPr>
              <w:jc w:val="center"/>
              <w:rPr>
                <w:b/>
                <w:sz w:val="22"/>
                <w:szCs w:val="22"/>
              </w:rPr>
            </w:pPr>
            <w:r w:rsidRPr="00B22420">
              <w:rPr>
                <w:b/>
                <w:sz w:val="22"/>
                <w:szCs w:val="22"/>
              </w:rPr>
              <w:t>Шкала (баллы)</w:t>
            </w:r>
          </w:p>
        </w:tc>
      </w:tr>
      <w:tr w:rsidR="0065641B" w:rsidRPr="00B22420"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B22420" w:rsidRDefault="006E5421" w:rsidP="0035746E">
            <w:pPr>
              <w:jc w:val="center"/>
              <w:rPr>
                <w:sz w:val="22"/>
                <w:szCs w:val="22"/>
              </w:rPr>
            </w:pPr>
            <w:r w:rsidRPr="00B22420">
              <w:rPr>
                <w:sz w:val="22"/>
                <w:szCs w:val="22"/>
                <w:shd w:val="clear" w:color="auto" w:fill="FFFFFF"/>
              </w:rPr>
              <w:t>Минимум 54 баллов, максимум 100 баллов</w:t>
            </w:r>
          </w:p>
        </w:tc>
      </w:tr>
      <w:tr w:rsidR="0065641B" w:rsidRPr="00B22420"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B22420" w:rsidRDefault="006E5421" w:rsidP="00B22420">
            <w:pPr>
              <w:pStyle w:val="64"/>
              <w:shd w:val="clear" w:color="auto" w:fill="auto"/>
              <w:spacing w:line="240" w:lineRule="auto"/>
              <w:ind w:left="68" w:firstLine="0"/>
            </w:pPr>
            <w:r w:rsidRPr="00B22420">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B22420" w:rsidRDefault="006E5421" w:rsidP="006E5421">
            <w:pPr>
              <w:jc w:val="center"/>
              <w:rPr>
                <w:rFonts w:eastAsia="Calibri"/>
                <w:sz w:val="22"/>
                <w:szCs w:val="22"/>
                <w:lang w:eastAsia="en-US"/>
              </w:rPr>
            </w:pPr>
            <w:r w:rsidRPr="00B22420">
              <w:rPr>
                <w:rFonts w:eastAsia="Calibri"/>
                <w:sz w:val="22"/>
                <w:szCs w:val="22"/>
                <w:lang w:eastAsia="en-US"/>
              </w:rPr>
              <w:t>5 (балл 85-100)</w:t>
            </w:r>
          </w:p>
        </w:tc>
      </w:tr>
      <w:tr w:rsidR="0065641B" w:rsidRPr="00B22420"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B22420" w:rsidRDefault="006E5421" w:rsidP="00B22420">
            <w:pPr>
              <w:pStyle w:val="64"/>
              <w:shd w:val="clear" w:color="auto" w:fill="auto"/>
              <w:spacing w:line="240" w:lineRule="auto"/>
              <w:ind w:left="68" w:firstLine="0"/>
            </w:pPr>
            <w:r w:rsidRPr="00B22420">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B22420" w:rsidRDefault="006E5421" w:rsidP="006E5421">
            <w:pPr>
              <w:jc w:val="center"/>
              <w:rPr>
                <w:rFonts w:eastAsia="Calibri"/>
                <w:sz w:val="22"/>
                <w:szCs w:val="22"/>
                <w:lang w:eastAsia="en-US"/>
              </w:rPr>
            </w:pPr>
            <w:r w:rsidRPr="00B22420">
              <w:rPr>
                <w:rFonts w:eastAsia="Calibri"/>
                <w:sz w:val="22"/>
                <w:szCs w:val="22"/>
                <w:lang w:eastAsia="en-US"/>
              </w:rPr>
              <w:t>4 (балл 70-84)</w:t>
            </w:r>
          </w:p>
        </w:tc>
      </w:tr>
      <w:tr w:rsidR="0065641B" w:rsidRPr="00B22420"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B22420" w:rsidRDefault="006E5421" w:rsidP="00B22420">
            <w:pPr>
              <w:pStyle w:val="64"/>
              <w:shd w:val="clear" w:color="auto" w:fill="auto"/>
              <w:spacing w:line="240" w:lineRule="auto"/>
              <w:ind w:left="68" w:firstLine="0"/>
            </w:pPr>
            <w:r w:rsidRPr="00B22420">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B22420" w:rsidRDefault="006E5421" w:rsidP="0035746E">
            <w:pPr>
              <w:jc w:val="center"/>
              <w:rPr>
                <w:rFonts w:eastAsia="Calibri"/>
                <w:sz w:val="22"/>
                <w:szCs w:val="22"/>
                <w:lang w:eastAsia="en-US"/>
              </w:rPr>
            </w:pPr>
            <w:r w:rsidRPr="00B22420">
              <w:rPr>
                <w:rFonts w:eastAsia="Calibri"/>
                <w:sz w:val="22"/>
                <w:szCs w:val="22"/>
                <w:lang w:eastAsia="en-US"/>
              </w:rPr>
              <w:t>3 (балл 55-69)</w:t>
            </w:r>
          </w:p>
        </w:tc>
      </w:tr>
      <w:tr w:rsidR="006E5421" w:rsidRPr="00B22420"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B22420" w:rsidRDefault="006E5421" w:rsidP="00B22420">
            <w:pPr>
              <w:pStyle w:val="64"/>
              <w:shd w:val="clear" w:color="auto" w:fill="auto"/>
              <w:spacing w:line="240" w:lineRule="auto"/>
              <w:ind w:left="68" w:firstLine="0"/>
              <w:rPr>
                <w:rStyle w:val="36"/>
                <w:color w:val="auto"/>
                <w:sz w:val="22"/>
                <w:szCs w:val="22"/>
                <w:u w:val="none"/>
              </w:rPr>
            </w:pPr>
            <w:r w:rsidRPr="00B22420">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B22420" w:rsidRDefault="006E5421" w:rsidP="00B22420">
            <w:pPr>
              <w:pStyle w:val="64"/>
              <w:shd w:val="clear" w:color="auto" w:fill="auto"/>
              <w:spacing w:line="240" w:lineRule="auto"/>
              <w:ind w:left="68" w:firstLine="0"/>
            </w:pPr>
            <w:r w:rsidRPr="00B22420">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B22420" w:rsidRDefault="006E5421" w:rsidP="0035746E">
            <w:pPr>
              <w:jc w:val="center"/>
              <w:rPr>
                <w:rFonts w:eastAsia="Calibri"/>
                <w:sz w:val="22"/>
                <w:szCs w:val="22"/>
                <w:lang w:eastAsia="en-US"/>
              </w:rPr>
            </w:pPr>
            <w:r w:rsidRPr="00B22420">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6298C30D" w:rsidR="00E250D5" w:rsidRPr="0065641B" w:rsidRDefault="0081238F" w:rsidP="00B22420">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B22420">
      <w:headerReference w:type="default" r:id="rId16"/>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1EC64EF"/>
    <w:multiLevelType w:val="hybridMultilevel"/>
    <w:tmpl w:val="C16A9E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0"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1"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2"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20"/>
  </w:num>
  <w:num w:numId="11">
    <w:abstractNumId w:val="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 w:numId="2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0303"/>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2420"/>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ac.unecon.ru/elibrary/2015/ucheb/%D0%A3%D0%BF%D1%80%D0%B0%D0%B2%D0%BB%D0%B5%D0%BD%D0%B8%D0%B5%20%D0%BE%D1%80%D0%B3%D0%B0%D0%BD%D0%B8%D0%B7%D0%B0%D1%86%D0%B8%D0%B5%D0%B9%20%D0%BF%D1%80%D0%B5%D0%B4%D0%BF%D1%80%D0%B8%D1%8F%D1%82%D0%B8%D0%B5%D0%BC.pdf" TargetMode="External"/><Relationship Id="rId13" Type="http://schemas.openxmlformats.org/officeDocument/2006/relationships/hyperlink" Target="http://www.polpr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9237%20" TargetMode="External"/><Relationship Id="rId5" Type="http://schemas.openxmlformats.org/officeDocument/2006/relationships/webSettings" Target="webSettings.xml"/><Relationship Id="rId15" Type="http://schemas.openxmlformats.org/officeDocument/2006/relationships/hyperlink" Target="http://www.znanium.com" TargetMode="External"/><Relationship Id="rId10" Type="http://schemas.openxmlformats.org/officeDocument/2006/relationships/hyperlink" Target="https://urait.ru/bcode/497114%20" TargetMode="External"/><Relationship Id="rId4" Type="http://schemas.openxmlformats.org/officeDocument/2006/relationships/settings" Target="settings.xml"/><Relationship Id="rId9" Type="http://schemas.openxmlformats.org/officeDocument/2006/relationships/hyperlink" Target="https://opac.unecon.ru/elibrary/2015/monogr/%D0%9F%D0%B5%D1%82%D1%80%D0%BE%D0%B2%20%D0%90.%D0%9D.%20%D0%A1%D1%82%D1%80%D0%B0%D1%82%D0%B5%D0%B3%D0%B8%D1%87%D0%B5%D1%81%D0%BA%D0%B8%D0%B9%20%D0%BC%D0%B5%D0%BD%D0%B5%D0%B4%D0%B6%D0%BC%D0%B5%D0%BD%D1%822022.pdf"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48369-EFF6-426E-8D78-24D27591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12</Pages>
  <Words>4505</Words>
  <Characters>25681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30126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2025-04-09T08:20:00Z</dcterms:modified>
</cp:coreProperties>
</file>