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Финансово-аналитические инструменты несостоятельности деятельности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9A2BD1" w:rsidR="00A77598" w:rsidRPr="006B0478" w:rsidRDefault="00A77598" w:rsidP="006B047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B0478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1B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B94">
              <w:rPr>
                <w:rFonts w:ascii="Times New Roman" w:hAnsi="Times New Roman" w:cs="Times New Roman"/>
                <w:sz w:val="20"/>
                <w:szCs w:val="20"/>
              </w:rPr>
              <w:t>к.э.н, Леонова Татьяна Михайловна</w:t>
            </w:r>
          </w:p>
        </w:tc>
      </w:tr>
      <w:tr w:rsidR="007A7979" w:rsidRPr="007A7979" w14:paraId="54C67B7D" w14:textId="77777777" w:rsidTr="00ED54AA">
        <w:tc>
          <w:tcPr>
            <w:tcW w:w="9345" w:type="dxa"/>
          </w:tcPr>
          <w:p w14:paraId="1814106A" w14:textId="77777777" w:rsidR="007A7979" w:rsidRPr="00EF1B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B94">
              <w:rPr>
                <w:rFonts w:ascii="Times New Roman" w:hAnsi="Times New Roman" w:cs="Times New Roman"/>
                <w:sz w:val="20"/>
                <w:szCs w:val="20"/>
              </w:rPr>
              <w:t>к.э.н, Малецкая Ирина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1E4295" w:rsidR="004475DA" w:rsidRPr="006B0478" w:rsidRDefault="006B04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41D5C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70CC6D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BF8827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CE6F18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10BF77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077587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5558D8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055243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DFEF01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32E1CF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FAAF39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211F59" w:rsidR="00D75436" w:rsidRDefault="000F10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A56072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01691A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CF8417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F155F7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0D6999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69CF11" w:rsidR="00D75436" w:rsidRDefault="000F10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D49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современных углубленных знаний в области финансово-экономического анализа  и его инструментария для целей превентивной и прогнозной оценки несостоятельности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Финансово-аналитические инструменты несостоятельности деятельности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2138"/>
        <w:gridCol w:w="5376"/>
      </w:tblGrid>
      <w:tr w:rsidR="00751095" w:rsidRPr="00EF1B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F1B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1B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F1B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1B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F1B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F1B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1B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F1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>ПК-7 - Способен анализировать финансовую отчетность организации в разрезе рисков, вырабатывать рекомендации по принятию решений, подготавливать материалы по анализу общего уровня риска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F1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ПК-7.2 - Использует бухгалтерскую отчетность в целях диагностики несостоятельности и выявления симптомов и рисков кризиса в финансово-экономической деятельности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F1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1B94">
              <w:rPr>
                <w:rFonts w:ascii="Times New Roman" w:hAnsi="Times New Roman" w:cs="Times New Roman"/>
              </w:rPr>
              <w:t>содержание форм финансовой отчетности, а также методы и приемы обработки данных, представленных в отчетности. Методологию диагностики несостоятельности деятельности организации и оценки рисков.</w:t>
            </w:r>
            <w:r w:rsidRPr="00EF1B9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B2C043" w:rsidR="00751095" w:rsidRPr="00EF1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1B94">
              <w:rPr>
                <w:rFonts w:ascii="Times New Roman" w:hAnsi="Times New Roman" w:cs="Times New Roman"/>
              </w:rPr>
              <w:t>принимать решения в области управления хозяйствующим субъектом в условиях реального и потенциального кризиса; использовать нормативно-правовую базу для обеспечения соблюдения законодательства РФ в области банкротства; вырабатывать решения по предотвращению рисков несостоятельности.</w:t>
            </w:r>
            <w:r w:rsidRPr="00EF1B9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386A18F" w:rsidR="00751095" w:rsidRPr="00EF1B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1B94">
              <w:rPr>
                <w:rFonts w:ascii="Times New Roman" w:hAnsi="Times New Roman" w:cs="Times New Roman"/>
              </w:rPr>
              <w:t>методиками выявления несостоятельности и использования полученных данных для диагностики состояния хозяйствующего субъекта условиях кризиса; приемами оценки надежности финансовой отчетности.</w:t>
            </w:r>
          </w:p>
        </w:tc>
      </w:tr>
      <w:tr w:rsidR="00751095" w:rsidRPr="00EF1B94" w14:paraId="71B1A27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411A" w14:textId="77777777" w:rsidR="00751095" w:rsidRPr="00EF1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>ПК-10 - Способен анализировать внутренние (внешние) факторы и условия, влияющие на деятельность организации, представлять информацию бизнес-анализа различными способами и в различных форматах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625C" w14:textId="77777777" w:rsidR="00751095" w:rsidRPr="00EF1B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ПК-10.2 - Применяет формализованные и неформализованные инструменты бизнес-анализа для выявления причин, факторов определяющих риски несостоятельности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03B8" w14:textId="77777777" w:rsidR="00751095" w:rsidRPr="00EF1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1B94">
              <w:rPr>
                <w:rFonts w:ascii="Times New Roman" w:hAnsi="Times New Roman" w:cs="Times New Roman"/>
              </w:rPr>
              <w:t>основные методики многомерного дискриминантного анализа для выявления рисков несостоятельности; содержание детализированного многофакторного анализа для оценки внешних и внутренних факторов развития КО.</w:t>
            </w:r>
            <w:r w:rsidRPr="00EF1B94">
              <w:rPr>
                <w:rFonts w:ascii="Times New Roman" w:hAnsi="Times New Roman" w:cs="Times New Roman"/>
              </w:rPr>
              <w:t xml:space="preserve"> </w:t>
            </w:r>
          </w:p>
          <w:p w14:paraId="75276855" w14:textId="5EF0AEE8" w:rsidR="00751095" w:rsidRPr="00EF1B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1B94">
              <w:rPr>
                <w:rFonts w:ascii="Times New Roman" w:hAnsi="Times New Roman" w:cs="Times New Roman"/>
              </w:rPr>
              <w:t>анализировать и интерпретировать формализованные и неформализованные модели, использовать полученные сведения для выявления причин несостоятельности и принятия решений по ее предупреждению.</w:t>
            </w:r>
            <w:r w:rsidRPr="00EF1B94">
              <w:rPr>
                <w:rFonts w:ascii="Times New Roman" w:hAnsi="Times New Roman" w:cs="Times New Roman"/>
              </w:rPr>
              <w:t xml:space="preserve"> </w:t>
            </w:r>
          </w:p>
          <w:p w14:paraId="03DA8875" w14:textId="1E8D6967" w:rsidR="00751095" w:rsidRPr="00EF1B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1B94">
              <w:rPr>
                <w:rFonts w:ascii="Times New Roman" w:hAnsi="Times New Roman" w:cs="Times New Roman"/>
              </w:rPr>
              <w:t>навыками применения инструментов скорингового  и бизнес-анализа для проведения превентивного и прогнозного анализа выявления рисков несостоятельности.</w:t>
            </w:r>
          </w:p>
        </w:tc>
      </w:tr>
    </w:tbl>
    <w:p w14:paraId="010B1EC2" w14:textId="77777777" w:rsidR="00E1429F" w:rsidRPr="00EF1B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9"/>
        <w:gridCol w:w="3904"/>
        <w:gridCol w:w="6"/>
        <w:gridCol w:w="717"/>
        <w:gridCol w:w="8"/>
        <w:gridCol w:w="732"/>
        <w:gridCol w:w="728"/>
        <w:gridCol w:w="728"/>
      </w:tblGrid>
      <w:tr w:rsidR="005B37A7" w:rsidRPr="00EF1B94" w14:paraId="3C8BF9B1" w14:textId="77777777" w:rsidTr="00EF1B94">
        <w:trPr>
          <w:trHeight w:val="331"/>
        </w:trPr>
        <w:tc>
          <w:tcPr>
            <w:tcW w:w="16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F1B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2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F1B9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F1B9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F1B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(ак</w:t>
            </w:r>
            <w:r w:rsidR="00AE2B1A" w:rsidRPr="00EF1B94">
              <w:rPr>
                <w:rFonts w:ascii="Times New Roman" w:hAnsi="Times New Roman" w:cs="Times New Roman"/>
                <w:b/>
              </w:rPr>
              <w:t>адемические</w:t>
            </w:r>
            <w:r w:rsidRPr="00EF1B9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F1B94" w14:paraId="568F56F7" w14:textId="77777777" w:rsidTr="00EF1B94">
        <w:trPr>
          <w:trHeight w:val="300"/>
        </w:trPr>
        <w:tc>
          <w:tcPr>
            <w:tcW w:w="16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F1B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4" w:type="pct"/>
            <w:gridSpan w:val="2"/>
            <w:vMerge/>
            <w:shd w:val="clear" w:color="auto" w:fill="auto"/>
          </w:tcPr>
          <w:p w14:paraId="6CE27F1B" w14:textId="77777777" w:rsidR="000B317E" w:rsidRPr="00EF1B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F1B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F1B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F1B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F1B94" w14:paraId="48EF2691" w14:textId="77777777" w:rsidTr="00EF1B94">
        <w:trPr>
          <w:trHeight w:val="463"/>
        </w:trPr>
        <w:tc>
          <w:tcPr>
            <w:tcW w:w="16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F1B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4" w:type="pct"/>
            <w:gridSpan w:val="2"/>
            <w:vMerge/>
            <w:shd w:val="clear" w:color="auto" w:fill="auto"/>
          </w:tcPr>
          <w:p w14:paraId="6CCDACC9" w14:textId="77777777" w:rsidR="004475DA" w:rsidRPr="00EF1B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F1B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F1B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F1B9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F1B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F1B94" w14:paraId="748498C4" w14:textId="77777777" w:rsidTr="00EF1B94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5D6E08B7" w14:textId="2FA1B7AD" w:rsidR="004475DA" w:rsidRPr="00EF1B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Тема 1. Вопросы терминологии и нормативно- правовая база несостоятельности ( банкротства) коммерческой организации.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39EE40A9" w14:textId="6A1029DB" w:rsidR="004475DA" w:rsidRPr="00EF1B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1B94">
              <w:rPr>
                <w:sz w:val="22"/>
                <w:szCs w:val="22"/>
                <w:lang w:bidi="ru-RU"/>
              </w:rPr>
              <w:t>Характеристика понятийного аппарата, цели и  задачи оценки несостоятельности. Кризисы организации, их сущность и взаимосвязь с несостоятельностью, инструменты (индикаторы) определения зоны риска (глубины) несостоятельности.  Законодательное регулирование  банкротства в России (критерии несостоятельности, процедуры банкротства). Виды, стадии, этапы оценки несостоятельности и факторы, влияющие на кризисное состояние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F1B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F1B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F1B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F1B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F1B94" w14:paraId="64E7E58F" w14:textId="77777777" w:rsidTr="00EF1B94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46B32871" w14:textId="77777777" w:rsidR="004475DA" w:rsidRPr="00EF1B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Тема 2. Диагностика как аналитический инструментарий, обеспечивающий финансово-экономическую безопасность организации.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62235648" w14:textId="77777777" w:rsidR="004475DA" w:rsidRPr="00EF1B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1B94">
              <w:rPr>
                <w:sz w:val="22"/>
                <w:szCs w:val="22"/>
                <w:lang w:bidi="ru-RU"/>
              </w:rPr>
              <w:t>Понятие «диагностика», содержание, цель и решаемые задачи, направления диагностического исследования, используемые финансово-аналитические инструменты. Система информационного обеспечения и оценка ее достоверности в целях финансового анализа организации. Методики анализа и  модели оценки несостоятельности, преимущества и недостатки используемых формализованных и неформализованных инструментов исследования. Профилактика банкротства.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20331" w14:textId="77777777" w:rsidR="004475DA" w:rsidRPr="00EF1B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312C04" w14:textId="77777777" w:rsidR="004475DA" w:rsidRPr="00EF1B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27EA8" w14:textId="77777777" w:rsidR="004475DA" w:rsidRPr="00EF1B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1B2DF" w14:textId="77777777" w:rsidR="004475DA" w:rsidRPr="00EF1B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F1B94" w14:paraId="1D5AB2B8" w14:textId="77777777" w:rsidTr="00EF1B94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2F5E82E8" w14:textId="77777777" w:rsidR="004475DA" w:rsidRPr="00EF1B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Тема 3. Финансовое оздоровление  как процесс стабилизации экономической деятельности несостоятельных организаций.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57D0BD98" w14:textId="77777777" w:rsidR="004475DA" w:rsidRPr="00EF1B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1B94">
              <w:rPr>
                <w:sz w:val="22"/>
                <w:szCs w:val="22"/>
                <w:lang w:bidi="ru-RU"/>
              </w:rPr>
              <w:t>Финансовое оздоровление: процедура банкротства и процесс финансовой стабилизации. Алгоритмы выбора инструментов финансового оздоровления проблемных и кризисных организаций:  основные этапы стабилизации, соответствующие им цели, реализуемые механизмы, их виды, содержание, используемые системы показателей. Разработка методических и практических подходов к решению проблем финансового оздоровления.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65CB6" w14:textId="77777777" w:rsidR="004475DA" w:rsidRPr="00EF1B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FB2EB" w14:textId="77777777" w:rsidR="004475DA" w:rsidRPr="00EF1B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FC480" w14:textId="77777777" w:rsidR="004475DA" w:rsidRPr="00EF1B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24841" w14:textId="77777777" w:rsidR="004475DA" w:rsidRPr="00EF1B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F1B9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F1B9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1B9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F1B9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1B9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F1B9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F1B9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F1B9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F1B9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F1B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1B9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F1B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1B9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F1B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1B9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F1B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F1B94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4"/>
        <w:gridCol w:w="4803"/>
      </w:tblGrid>
      <w:tr w:rsidR="00262CF0" w:rsidRPr="00EF1B9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F1B9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1B9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F1B9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1B9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1B9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Зуб А.Т. Антикризисное управление организацией: учебное пособие/ А. Т. Зуб, Е. М. Панина. – Москва: Форум: ИНФРА-М, 2020. – 256 с. – (Высшее образование). – </w:t>
            </w:r>
            <w:r w:rsidRPr="00EF1B94">
              <w:rPr>
                <w:rFonts w:ascii="Times New Roman" w:hAnsi="Times New Roman" w:cs="Times New Roman"/>
                <w:lang w:val="en-US"/>
              </w:rPr>
              <w:t>ISBN</w:t>
            </w:r>
            <w:r w:rsidRPr="00EF1B94">
              <w:rPr>
                <w:rFonts w:ascii="Times New Roman" w:hAnsi="Times New Roman" w:cs="Times New Roman"/>
              </w:rPr>
              <w:t xml:space="preserve"> 978-5-16-100747-1. – Текст 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F1B94">
                <w:rPr>
                  <w:color w:val="00008B"/>
                  <w:u w:val="single"/>
                </w:rPr>
                <w:t>https://znanium.com/catalog/product/1068822</w:t>
              </w:r>
            </w:hyperlink>
          </w:p>
        </w:tc>
      </w:tr>
      <w:tr w:rsidR="00262CF0" w:rsidRPr="006B0478" w14:paraId="5A7456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86ECCC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>Касьяненко, Т. Г.  Анализ и оценка рисков в бизнесе : учебник и практикум для вузов / Т. Г. Касьяненко, Г. А. Маховикова. — 2-е изд., перераб. и доп. — Москва : Издательство Юрайт, 2021.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37318A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F1B94">
                <w:rPr>
                  <w:color w:val="00008B"/>
                  <w:u w:val="single"/>
                  <w:lang w:val="en-US"/>
                </w:rPr>
                <w:t>https://urait.ru/viewer/analiz ... ocenka-riskov-v-biznese-468977</w:t>
              </w:r>
            </w:hyperlink>
          </w:p>
        </w:tc>
      </w:tr>
      <w:tr w:rsidR="00262CF0" w:rsidRPr="00EF1B94" w14:paraId="70BA6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2343AC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Кобозева, Н. В. Банкротство: учет, анализ, аудит : практическое пособие / Н. В. Кобозева. - Москва : Магистр : ИНФРА-М, 2020. - 208 с. - </w:t>
            </w:r>
            <w:r w:rsidRPr="00EF1B94">
              <w:rPr>
                <w:rFonts w:ascii="Times New Roman" w:hAnsi="Times New Roman" w:cs="Times New Roman"/>
                <w:lang w:val="en-US"/>
              </w:rPr>
              <w:t>ISBN</w:t>
            </w:r>
            <w:r w:rsidRPr="00EF1B94">
              <w:rPr>
                <w:rFonts w:ascii="Times New Roman" w:hAnsi="Times New Roman" w:cs="Times New Roman"/>
              </w:rPr>
              <w:t xml:space="preserve"> 978-5-9776-0154-2. - Текст 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E7F54D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F1B94">
                <w:rPr>
                  <w:color w:val="00008B"/>
                  <w:u w:val="single"/>
                </w:rPr>
                <w:t>https://znanium.com/catalog/product/1065803</w:t>
              </w:r>
            </w:hyperlink>
          </w:p>
        </w:tc>
      </w:tr>
      <w:tr w:rsidR="00262CF0" w:rsidRPr="00EF1B94" w14:paraId="3A26A7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0DD8FF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>Кован С.Е. Предупреждение банкротства организаций: монография / С.Е. Кован. – Москва: ИНФРА-М, 2019. –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4A72E5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F1B94">
                <w:rPr>
                  <w:color w:val="00008B"/>
                  <w:u w:val="single"/>
                </w:rPr>
                <w:t>https://znanium.com/catalog/product/1002078</w:t>
              </w:r>
            </w:hyperlink>
          </w:p>
        </w:tc>
      </w:tr>
      <w:tr w:rsidR="00262CF0" w:rsidRPr="00EF1B94" w14:paraId="746486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EAA626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>Мазурова И.И., Белозерова Н.П., Леонова Т.М., Подшивалова М.М. Методы оценки вероятности банкротства предприятия: учебное пособие – СПб.: Изд-во СПбГУЭФ, 2012 – 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F4FB95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F1B94">
                <w:rPr>
                  <w:color w:val="00008B"/>
                  <w:u w:val="single"/>
                </w:rPr>
                <w:t>http://opac.unecon.ru/elibrary/elib/389388510.pdf</w:t>
              </w:r>
            </w:hyperlink>
          </w:p>
        </w:tc>
      </w:tr>
      <w:tr w:rsidR="00262CF0" w:rsidRPr="006B0478" w14:paraId="42D1C5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76A0F8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Ряховская, Антонина Николаевна. Банкротство и финансовое оздоровление субъектов экономики : Монография / под ред. </w:t>
            </w:r>
            <w:r w:rsidRPr="00EF1B94">
              <w:rPr>
                <w:rFonts w:ascii="Times New Roman" w:hAnsi="Times New Roman" w:cs="Times New Roman"/>
                <w:lang w:val="en-US"/>
              </w:rPr>
              <w:t>Ряховской А.Н. Москва : Юрайт, 2019.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0A2FA0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F1B94">
                <w:rPr>
                  <w:color w:val="00008B"/>
                  <w:u w:val="single"/>
                  <w:lang w:val="en-US"/>
                </w:rPr>
                <w:t>https://www.urait.ru/bcode/445347</w:t>
              </w:r>
            </w:hyperlink>
          </w:p>
        </w:tc>
      </w:tr>
      <w:tr w:rsidR="00262CF0" w:rsidRPr="00EF1B94" w14:paraId="49740B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8BBD79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>Чернова М.В. Аудит и анализ при банкротстве: теория и практика: монография / М.В. Чернова. – Москва: ИНФРА-М, 2020. –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F086E5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F1B94">
                <w:rPr>
                  <w:color w:val="00008B"/>
                  <w:u w:val="single"/>
                </w:rPr>
                <w:t xml:space="preserve">https://znanium.com/bookread2.php?book=1028965 </w:t>
              </w:r>
            </w:hyperlink>
          </w:p>
        </w:tc>
      </w:tr>
      <w:tr w:rsidR="00262CF0" w:rsidRPr="00EF1B94" w14:paraId="1F2FAA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E582C0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Экономический анализ в 2 ч. Часть 1.  : учебник для вузов / Н. В. Войтоловский [и др.] ; под редакцией Н. В. Войтоловского, А. П. Калининой, И. И. Мазуровой. — 7-е изд., перераб. и доп. — Москва : Издательство Юрайт, 2021. — 291 с. — (Высшее образование). — </w:t>
            </w:r>
            <w:r w:rsidRPr="00EF1B94">
              <w:rPr>
                <w:rFonts w:ascii="Times New Roman" w:hAnsi="Times New Roman" w:cs="Times New Roman"/>
                <w:lang w:val="en-US"/>
              </w:rPr>
              <w:t>ISBN</w:t>
            </w:r>
            <w:r w:rsidRPr="00EF1B94">
              <w:rPr>
                <w:rFonts w:ascii="Times New Roman" w:hAnsi="Times New Roman" w:cs="Times New Roman"/>
              </w:rPr>
              <w:t xml:space="preserve"> 978-5-534-10997-9. — Текст :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D5B28E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EF1B94">
                <w:rPr>
                  <w:color w:val="00008B"/>
                  <w:u w:val="single"/>
                </w:rPr>
                <w:t>https://urait.ru/bcode/473099</w:t>
              </w:r>
            </w:hyperlink>
          </w:p>
        </w:tc>
      </w:tr>
      <w:tr w:rsidR="00262CF0" w:rsidRPr="00EF1B94" w14:paraId="788064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BC5E67" w14:textId="77777777" w:rsidR="00262CF0" w:rsidRPr="00EF1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1B94">
              <w:rPr>
                <w:rFonts w:ascii="Times New Roman" w:hAnsi="Times New Roman" w:cs="Times New Roman"/>
              </w:rPr>
              <w:t xml:space="preserve">Экономический анализ в 2 ч. Часть 2.  : учебник для вузов / Н. В. Войтоловский [и др.] ; под редакцией Н. В. Войтоловского, А. П. Калининой, И. И. Мазуровой. — 7-е изд., перераб. и доп. — Москва : Издательство Юрайт, 2021. — 302 с. — (Высшее образование). — </w:t>
            </w:r>
            <w:r w:rsidRPr="00EF1B94">
              <w:rPr>
                <w:rFonts w:ascii="Times New Roman" w:hAnsi="Times New Roman" w:cs="Times New Roman"/>
                <w:lang w:val="en-US"/>
              </w:rPr>
              <w:t>ISBN</w:t>
            </w:r>
            <w:r w:rsidRPr="00EF1B94">
              <w:rPr>
                <w:rFonts w:ascii="Times New Roman" w:hAnsi="Times New Roman" w:cs="Times New Roman"/>
              </w:rPr>
              <w:t xml:space="preserve"> 978-5-534-10999-3. — Текст :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E39E9" w14:textId="77777777" w:rsidR="00262CF0" w:rsidRPr="00EF1B94" w:rsidRDefault="000F10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EF1B94">
                <w:rPr>
                  <w:color w:val="00008B"/>
                  <w:u w:val="single"/>
                </w:rPr>
                <w:t>https://urait.ru/bcode/473100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2A5FD2" w14:textId="77777777" w:rsidTr="007B550D">
        <w:tc>
          <w:tcPr>
            <w:tcW w:w="9345" w:type="dxa"/>
          </w:tcPr>
          <w:p w14:paraId="70A536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81665D8" w14:textId="77777777" w:rsidTr="007B550D">
        <w:tc>
          <w:tcPr>
            <w:tcW w:w="9345" w:type="dxa"/>
          </w:tcPr>
          <w:p w14:paraId="2DAAAF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F10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1B9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F1B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1B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F1B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1B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1B9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F1B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1B94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EF1B94">
              <w:rPr>
                <w:sz w:val="22"/>
                <w:szCs w:val="22"/>
                <w:lang w:val="en-US"/>
              </w:rPr>
              <w:t>i</w:t>
            </w:r>
            <w:r w:rsidRPr="00EF1B94">
              <w:rPr>
                <w:sz w:val="22"/>
                <w:szCs w:val="22"/>
              </w:rPr>
              <w:t>5-8400/8</w:t>
            </w:r>
            <w:r w:rsidRPr="00EF1B94">
              <w:rPr>
                <w:sz w:val="22"/>
                <w:szCs w:val="22"/>
                <w:lang w:val="en-US"/>
              </w:rPr>
              <w:t>GB</w:t>
            </w:r>
            <w:r w:rsidRPr="00EF1B94">
              <w:rPr>
                <w:sz w:val="22"/>
                <w:szCs w:val="22"/>
              </w:rPr>
              <w:t>/500</w:t>
            </w:r>
            <w:r w:rsidRPr="00EF1B94">
              <w:rPr>
                <w:sz w:val="22"/>
                <w:szCs w:val="22"/>
                <w:lang w:val="en-US"/>
              </w:rPr>
              <w:t>GB</w:t>
            </w:r>
            <w:r w:rsidRPr="00EF1B94">
              <w:rPr>
                <w:sz w:val="22"/>
                <w:szCs w:val="22"/>
              </w:rPr>
              <w:t>_</w:t>
            </w:r>
            <w:r w:rsidRPr="00EF1B94">
              <w:rPr>
                <w:sz w:val="22"/>
                <w:szCs w:val="22"/>
                <w:lang w:val="en-US"/>
              </w:rPr>
              <w:t>SSD</w:t>
            </w:r>
            <w:r w:rsidRPr="00EF1B94">
              <w:rPr>
                <w:sz w:val="22"/>
                <w:szCs w:val="22"/>
              </w:rPr>
              <w:t>/</w:t>
            </w:r>
            <w:r w:rsidRPr="00EF1B94">
              <w:rPr>
                <w:sz w:val="22"/>
                <w:szCs w:val="22"/>
                <w:lang w:val="en-US"/>
              </w:rPr>
              <w:t>Viewsonic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VA</w:t>
            </w:r>
            <w:r w:rsidRPr="00EF1B94">
              <w:rPr>
                <w:sz w:val="22"/>
                <w:szCs w:val="22"/>
              </w:rPr>
              <w:t>2410-</w:t>
            </w:r>
            <w:r w:rsidRPr="00EF1B94">
              <w:rPr>
                <w:sz w:val="22"/>
                <w:szCs w:val="22"/>
                <w:lang w:val="en-US"/>
              </w:rPr>
              <w:t>mh</w:t>
            </w:r>
            <w:r w:rsidRPr="00EF1B9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F1B94">
              <w:rPr>
                <w:sz w:val="22"/>
                <w:szCs w:val="22"/>
                <w:lang w:val="en-US"/>
              </w:rPr>
              <w:t>Intel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pentium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x</w:t>
            </w:r>
            <w:r w:rsidRPr="00EF1B94">
              <w:rPr>
                <w:sz w:val="22"/>
                <w:szCs w:val="22"/>
              </w:rPr>
              <w:t xml:space="preserve">2 </w:t>
            </w:r>
            <w:r w:rsidRPr="00EF1B94">
              <w:rPr>
                <w:sz w:val="22"/>
                <w:szCs w:val="22"/>
                <w:lang w:val="en-US"/>
              </w:rPr>
              <w:t>g</w:t>
            </w:r>
            <w:r w:rsidRPr="00EF1B94">
              <w:rPr>
                <w:sz w:val="22"/>
                <w:szCs w:val="22"/>
              </w:rPr>
              <w:t xml:space="preserve">3250 клавиатура+мышь </w:t>
            </w:r>
            <w:r w:rsidRPr="00EF1B94">
              <w:rPr>
                <w:sz w:val="22"/>
                <w:szCs w:val="22"/>
                <w:lang w:val="en-US"/>
              </w:rPr>
              <w:t>L</w:t>
            </w:r>
            <w:r w:rsidRPr="00EF1B94">
              <w:rPr>
                <w:sz w:val="22"/>
                <w:szCs w:val="22"/>
              </w:rPr>
              <w:t xml:space="preserve"> (жесткий диск500</w:t>
            </w:r>
            <w:r w:rsidRPr="00EF1B94">
              <w:rPr>
                <w:sz w:val="22"/>
                <w:szCs w:val="22"/>
                <w:lang w:val="en-US"/>
              </w:rPr>
              <w:t>gb</w:t>
            </w:r>
            <w:r w:rsidRPr="00EF1B94">
              <w:rPr>
                <w:sz w:val="22"/>
                <w:szCs w:val="22"/>
              </w:rPr>
              <w:t xml:space="preserve">,монитор </w:t>
            </w:r>
            <w:r w:rsidRPr="00EF1B94">
              <w:rPr>
                <w:sz w:val="22"/>
                <w:szCs w:val="22"/>
                <w:lang w:val="en-US"/>
              </w:rPr>
              <w:t>philips</w:t>
            </w:r>
            <w:r w:rsidRPr="00EF1B9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F1B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1B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F1B94" w14:paraId="648493AA" w14:textId="77777777" w:rsidTr="008416EB">
        <w:tc>
          <w:tcPr>
            <w:tcW w:w="7797" w:type="dxa"/>
            <w:shd w:val="clear" w:color="auto" w:fill="auto"/>
          </w:tcPr>
          <w:p w14:paraId="5E4DC7E3" w14:textId="77777777" w:rsidR="002C735C" w:rsidRPr="00EF1B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1B9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EF1B94">
              <w:rPr>
                <w:sz w:val="22"/>
                <w:szCs w:val="22"/>
                <w:lang w:val="en-US"/>
              </w:rPr>
              <w:t>i</w:t>
            </w:r>
            <w:r w:rsidRPr="00EF1B94">
              <w:rPr>
                <w:sz w:val="22"/>
                <w:szCs w:val="22"/>
              </w:rPr>
              <w:t>5-8400/8</w:t>
            </w:r>
            <w:r w:rsidRPr="00EF1B94">
              <w:rPr>
                <w:sz w:val="22"/>
                <w:szCs w:val="22"/>
                <w:lang w:val="en-US"/>
              </w:rPr>
              <w:t>GB</w:t>
            </w:r>
            <w:r w:rsidRPr="00EF1B94">
              <w:rPr>
                <w:sz w:val="22"/>
                <w:szCs w:val="22"/>
              </w:rPr>
              <w:t>/500</w:t>
            </w:r>
            <w:r w:rsidRPr="00EF1B94">
              <w:rPr>
                <w:sz w:val="22"/>
                <w:szCs w:val="22"/>
                <w:lang w:val="en-US"/>
              </w:rPr>
              <w:t>GB</w:t>
            </w:r>
            <w:r w:rsidRPr="00EF1B94">
              <w:rPr>
                <w:sz w:val="22"/>
                <w:szCs w:val="22"/>
              </w:rPr>
              <w:t>_</w:t>
            </w:r>
            <w:r w:rsidRPr="00EF1B94">
              <w:rPr>
                <w:sz w:val="22"/>
                <w:szCs w:val="22"/>
                <w:lang w:val="en-US"/>
              </w:rPr>
              <w:t>SSD</w:t>
            </w:r>
            <w:r w:rsidRPr="00EF1B94">
              <w:rPr>
                <w:sz w:val="22"/>
                <w:szCs w:val="22"/>
              </w:rPr>
              <w:t>/</w:t>
            </w:r>
            <w:r w:rsidRPr="00EF1B94">
              <w:rPr>
                <w:sz w:val="22"/>
                <w:szCs w:val="22"/>
                <w:lang w:val="en-US"/>
              </w:rPr>
              <w:t>Viewsonic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VA</w:t>
            </w:r>
            <w:r w:rsidRPr="00EF1B94">
              <w:rPr>
                <w:sz w:val="22"/>
                <w:szCs w:val="22"/>
              </w:rPr>
              <w:t>2410-</w:t>
            </w:r>
            <w:r w:rsidRPr="00EF1B94">
              <w:rPr>
                <w:sz w:val="22"/>
                <w:szCs w:val="22"/>
                <w:lang w:val="en-US"/>
              </w:rPr>
              <w:t>mh</w:t>
            </w:r>
            <w:r w:rsidRPr="00EF1B94">
              <w:rPr>
                <w:sz w:val="22"/>
                <w:szCs w:val="22"/>
              </w:rPr>
              <w:t xml:space="preserve"> -34 шт., Коммутатор </w:t>
            </w:r>
            <w:r w:rsidRPr="00EF1B94">
              <w:rPr>
                <w:sz w:val="22"/>
                <w:szCs w:val="22"/>
                <w:lang w:val="en-US"/>
              </w:rPr>
              <w:t>Cisco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Catalyst</w:t>
            </w:r>
            <w:r w:rsidRPr="00EF1B94">
              <w:rPr>
                <w:sz w:val="22"/>
                <w:szCs w:val="22"/>
              </w:rPr>
              <w:t xml:space="preserve"> 2960-48</w:t>
            </w:r>
            <w:r w:rsidRPr="00EF1B94">
              <w:rPr>
                <w:sz w:val="22"/>
                <w:szCs w:val="22"/>
                <w:lang w:val="en-US"/>
              </w:rPr>
              <w:t>PST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L</w:t>
            </w:r>
            <w:r w:rsidRPr="00EF1B94">
              <w:rPr>
                <w:sz w:val="22"/>
                <w:szCs w:val="22"/>
              </w:rPr>
              <w:t xml:space="preserve"> (в т.ч. Сервисный контракт </w:t>
            </w:r>
            <w:r w:rsidRPr="00EF1B94">
              <w:rPr>
                <w:sz w:val="22"/>
                <w:szCs w:val="22"/>
                <w:lang w:val="en-US"/>
              </w:rPr>
              <w:t>SmartNet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CON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SNT</w:t>
            </w:r>
            <w:r w:rsidRPr="00EF1B94">
              <w:rPr>
                <w:sz w:val="22"/>
                <w:szCs w:val="22"/>
              </w:rPr>
              <w:t>-2964</w:t>
            </w:r>
            <w:r w:rsidRPr="00EF1B94">
              <w:rPr>
                <w:sz w:val="22"/>
                <w:szCs w:val="22"/>
                <w:lang w:val="en-US"/>
              </w:rPr>
              <w:t>STL</w:t>
            </w:r>
            <w:r w:rsidRPr="00EF1B9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F1B94">
              <w:rPr>
                <w:sz w:val="22"/>
                <w:szCs w:val="22"/>
                <w:lang w:val="en-US"/>
              </w:rPr>
              <w:t>Wi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Fi</w:t>
            </w:r>
            <w:r w:rsidRPr="00EF1B94">
              <w:rPr>
                <w:sz w:val="22"/>
                <w:szCs w:val="22"/>
              </w:rPr>
              <w:t xml:space="preserve"> Тип1 </w:t>
            </w:r>
            <w:r w:rsidRPr="00EF1B94">
              <w:rPr>
                <w:sz w:val="22"/>
                <w:szCs w:val="22"/>
                <w:lang w:val="en-US"/>
              </w:rPr>
              <w:t>UBIQUITI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UAP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AC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PRO</w:t>
            </w:r>
            <w:r w:rsidRPr="00EF1B94">
              <w:rPr>
                <w:sz w:val="22"/>
                <w:szCs w:val="22"/>
              </w:rPr>
              <w:t xml:space="preserve"> - 1 шт., Проектор </w:t>
            </w:r>
            <w:r w:rsidRPr="00EF1B94">
              <w:rPr>
                <w:sz w:val="22"/>
                <w:szCs w:val="22"/>
                <w:lang w:val="en-US"/>
              </w:rPr>
              <w:t>NEC</w:t>
            </w:r>
            <w:r w:rsidRPr="00EF1B9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F1B94">
              <w:rPr>
                <w:sz w:val="22"/>
                <w:szCs w:val="22"/>
                <w:lang w:val="en-US"/>
              </w:rPr>
              <w:t>Cisco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WS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C</w:t>
            </w:r>
            <w:r w:rsidRPr="00EF1B94">
              <w:rPr>
                <w:sz w:val="22"/>
                <w:szCs w:val="22"/>
              </w:rPr>
              <w:t>2960+48</w:t>
            </w:r>
            <w:r w:rsidRPr="00EF1B94">
              <w:rPr>
                <w:sz w:val="22"/>
                <w:szCs w:val="22"/>
                <w:lang w:val="en-US"/>
              </w:rPr>
              <w:t>PST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L</w:t>
            </w:r>
            <w:r w:rsidRPr="00EF1B94">
              <w:rPr>
                <w:sz w:val="22"/>
                <w:szCs w:val="22"/>
              </w:rPr>
              <w:t xml:space="preserve"> - 1 шт., Коммутатор </w:t>
            </w:r>
            <w:r w:rsidRPr="00EF1B94">
              <w:rPr>
                <w:sz w:val="22"/>
                <w:szCs w:val="22"/>
                <w:lang w:val="en-US"/>
              </w:rPr>
              <w:t>ProCurve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Switch</w:t>
            </w:r>
            <w:r w:rsidRPr="00EF1B94">
              <w:rPr>
                <w:sz w:val="22"/>
                <w:szCs w:val="22"/>
              </w:rPr>
              <w:t xml:space="preserve"> 2626 - 1 шт., Компьютер </w:t>
            </w:r>
            <w:r w:rsidRPr="00EF1B94">
              <w:rPr>
                <w:sz w:val="22"/>
                <w:szCs w:val="22"/>
                <w:lang w:val="en-US"/>
              </w:rPr>
              <w:t>Intel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pentium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x</w:t>
            </w:r>
            <w:r w:rsidRPr="00EF1B94">
              <w:rPr>
                <w:sz w:val="22"/>
                <w:szCs w:val="22"/>
              </w:rPr>
              <w:t xml:space="preserve">2 </w:t>
            </w:r>
            <w:r w:rsidRPr="00EF1B94">
              <w:rPr>
                <w:sz w:val="22"/>
                <w:szCs w:val="22"/>
                <w:lang w:val="en-US"/>
              </w:rPr>
              <w:t>g</w:t>
            </w:r>
            <w:r w:rsidRPr="00EF1B94">
              <w:rPr>
                <w:sz w:val="22"/>
                <w:szCs w:val="22"/>
              </w:rPr>
              <w:t>3250 /500</w:t>
            </w:r>
            <w:r w:rsidRPr="00EF1B94">
              <w:rPr>
                <w:sz w:val="22"/>
                <w:szCs w:val="22"/>
                <w:lang w:val="en-US"/>
              </w:rPr>
              <w:t>gb</w:t>
            </w:r>
            <w:r w:rsidRPr="00EF1B94">
              <w:rPr>
                <w:sz w:val="22"/>
                <w:szCs w:val="22"/>
              </w:rPr>
              <w:t xml:space="preserve">/монитор </w:t>
            </w:r>
            <w:r w:rsidRPr="00EF1B94">
              <w:rPr>
                <w:sz w:val="22"/>
                <w:szCs w:val="22"/>
                <w:lang w:val="en-US"/>
              </w:rPr>
              <w:t>philips</w:t>
            </w:r>
            <w:r w:rsidRPr="00EF1B94">
              <w:rPr>
                <w:sz w:val="22"/>
                <w:szCs w:val="22"/>
              </w:rPr>
              <w:t xml:space="preserve"> 21.5' - 1 шт., </w:t>
            </w:r>
            <w:r w:rsidRPr="00EF1B94">
              <w:rPr>
                <w:sz w:val="22"/>
                <w:szCs w:val="22"/>
                <w:lang w:val="en-US"/>
              </w:rPr>
              <w:t>IP</w:t>
            </w:r>
            <w:r w:rsidRPr="00EF1B94">
              <w:rPr>
                <w:sz w:val="22"/>
                <w:szCs w:val="22"/>
              </w:rPr>
              <w:t xml:space="preserve"> видеокамера </w:t>
            </w:r>
            <w:r w:rsidRPr="00EF1B94">
              <w:rPr>
                <w:sz w:val="22"/>
                <w:szCs w:val="22"/>
                <w:lang w:val="en-US"/>
              </w:rPr>
              <w:t>Ubiquiti</w:t>
            </w:r>
            <w:r w:rsidRPr="00EF1B9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F1B94">
              <w:rPr>
                <w:sz w:val="22"/>
                <w:szCs w:val="22"/>
                <w:lang w:val="en-US"/>
              </w:rPr>
              <w:t>UNI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FI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AP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PRO</w:t>
            </w:r>
            <w:r w:rsidRPr="00EF1B94">
              <w:rPr>
                <w:sz w:val="22"/>
                <w:szCs w:val="22"/>
              </w:rPr>
              <w:t>/</w:t>
            </w:r>
            <w:r w:rsidRPr="00EF1B94">
              <w:rPr>
                <w:sz w:val="22"/>
                <w:szCs w:val="22"/>
                <w:lang w:val="en-US"/>
              </w:rPr>
              <w:t>Ubiquiti</w:t>
            </w:r>
            <w:r w:rsidRPr="00EF1B9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FA470C" w14:textId="77777777" w:rsidR="002C735C" w:rsidRPr="00EF1B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1B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F1B94" w14:paraId="635C66DE" w14:textId="77777777" w:rsidTr="008416EB">
        <w:tc>
          <w:tcPr>
            <w:tcW w:w="7797" w:type="dxa"/>
            <w:shd w:val="clear" w:color="auto" w:fill="auto"/>
          </w:tcPr>
          <w:p w14:paraId="4D21C7B5" w14:textId="77777777" w:rsidR="002C735C" w:rsidRPr="00EF1B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1B94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EF1B94">
              <w:rPr>
                <w:sz w:val="22"/>
                <w:szCs w:val="22"/>
                <w:lang w:val="en-US"/>
              </w:rPr>
              <w:t>Intel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i</w:t>
            </w:r>
            <w:r w:rsidRPr="00EF1B94">
              <w:rPr>
                <w:sz w:val="22"/>
                <w:szCs w:val="22"/>
              </w:rPr>
              <w:t xml:space="preserve">3-2100 2.4 </w:t>
            </w:r>
            <w:r w:rsidRPr="00EF1B94">
              <w:rPr>
                <w:sz w:val="22"/>
                <w:szCs w:val="22"/>
                <w:lang w:val="en-US"/>
              </w:rPr>
              <w:t>Ghz</w:t>
            </w:r>
            <w:r w:rsidRPr="00EF1B94">
              <w:rPr>
                <w:sz w:val="22"/>
                <w:szCs w:val="22"/>
              </w:rPr>
              <w:t>/500/4/</w:t>
            </w:r>
            <w:r w:rsidRPr="00EF1B94">
              <w:rPr>
                <w:sz w:val="22"/>
                <w:szCs w:val="22"/>
                <w:lang w:val="en-US"/>
              </w:rPr>
              <w:t>Acer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V</w:t>
            </w:r>
            <w:r w:rsidRPr="00EF1B9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F1B94">
              <w:rPr>
                <w:sz w:val="22"/>
                <w:szCs w:val="22"/>
                <w:lang w:val="en-US"/>
              </w:rPr>
              <w:t>Panasonic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PT</w:t>
            </w:r>
            <w:r w:rsidRPr="00EF1B94">
              <w:rPr>
                <w:sz w:val="22"/>
                <w:szCs w:val="22"/>
              </w:rPr>
              <w:t>-</w:t>
            </w:r>
            <w:r w:rsidRPr="00EF1B94">
              <w:rPr>
                <w:sz w:val="22"/>
                <w:szCs w:val="22"/>
                <w:lang w:val="en-US"/>
              </w:rPr>
              <w:t>VX</w:t>
            </w:r>
            <w:r w:rsidRPr="00EF1B94">
              <w:rPr>
                <w:sz w:val="22"/>
                <w:szCs w:val="22"/>
              </w:rPr>
              <w:t>610</w:t>
            </w:r>
            <w:r w:rsidRPr="00EF1B94">
              <w:rPr>
                <w:sz w:val="22"/>
                <w:szCs w:val="22"/>
                <w:lang w:val="en-US"/>
              </w:rPr>
              <w:t>E</w:t>
            </w:r>
            <w:r w:rsidRPr="00EF1B94">
              <w:rPr>
                <w:sz w:val="22"/>
                <w:szCs w:val="22"/>
              </w:rPr>
              <w:t xml:space="preserve"> - 1 шт., Экран с электроприводом </w:t>
            </w:r>
            <w:r w:rsidRPr="00EF1B94">
              <w:rPr>
                <w:sz w:val="22"/>
                <w:szCs w:val="22"/>
                <w:lang w:val="en-US"/>
              </w:rPr>
              <w:t>ScreenMedia</w:t>
            </w:r>
            <w:r w:rsidRPr="00EF1B94">
              <w:rPr>
                <w:sz w:val="22"/>
                <w:szCs w:val="22"/>
              </w:rPr>
              <w:t xml:space="preserve"> </w:t>
            </w:r>
            <w:r w:rsidRPr="00EF1B94">
              <w:rPr>
                <w:sz w:val="22"/>
                <w:szCs w:val="22"/>
                <w:lang w:val="en-US"/>
              </w:rPr>
              <w:t>Champion</w:t>
            </w:r>
            <w:r w:rsidRPr="00EF1B94">
              <w:rPr>
                <w:sz w:val="22"/>
                <w:szCs w:val="22"/>
              </w:rPr>
              <w:t xml:space="preserve"> 203х153см (</w:t>
            </w:r>
            <w:r w:rsidRPr="00EF1B94">
              <w:rPr>
                <w:sz w:val="22"/>
                <w:szCs w:val="22"/>
                <w:lang w:val="en-US"/>
              </w:rPr>
              <w:t>SCM</w:t>
            </w:r>
            <w:r w:rsidRPr="00EF1B94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F75AA0" w14:textId="77777777" w:rsidR="002C735C" w:rsidRPr="00EF1B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1B9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Характеристика финансово-экономического анализа как важнейшего элемента оценки несостоятельности организации</w:t>
            </w:r>
          </w:p>
        </w:tc>
      </w:tr>
      <w:tr w:rsidR="009E6058" w14:paraId="3583CD6D" w14:textId="77777777" w:rsidTr="00F00293">
        <w:tc>
          <w:tcPr>
            <w:tcW w:w="562" w:type="dxa"/>
          </w:tcPr>
          <w:p w14:paraId="6AE33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A846E2F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Система информационного обеспечения финансово-экономического анализа и оценка ее качества</w:t>
            </w:r>
          </w:p>
        </w:tc>
      </w:tr>
      <w:tr w:rsidR="009E6058" w14:paraId="79FCEDAB" w14:textId="77777777" w:rsidTr="00F00293">
        <w:tc>
          <w:tcPr>
            <w:tcW w:w="562" w:type="dxa"/>
          </w:tcPr>
          <w:p w14:paraId="1C6CA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00DBC49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Понятие и логика проведения комплексного финансово-экономического анализа организации для целей банкротства</w:t>
            </w:r>
          </w:p>
        </w:tc>
      </w:tr>
      <w:tr w:rsidR="009E6058" w14:paraId="308F4D3E" w14:textId="77777777" w:rsidTr="00F00293">
        <w:tc>
          <w:tcPr>
            <w:tcW w:w="562" w:type="dxa"/>
          </w:tcPr>
          <w:p w14:paraId="7736B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566C8F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Понятие несостоятельности. Нормативно-правовое регулирование несостоятельности</w:t>
            </w:r>
          </w:p>
        </w:tc>
      </w:tr>
      <w:tr w:rsidR="009E6058" w14:paraId="1E6A8AEF" w14:textId="77777777" w:rsidTr="00F00293">
        <w:tc>
          <w:tcPr>
            <w:tcW w:w="562" w:type="dxa"/>
          </w:tcPr>
          <w:p w14:paraId="04930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8480813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Диагностика кризисных ситуаций: формализованные и неформализованные кризис-прогнозные модели</w:t>
            </w:r>
          </w:p>
        </w:tc>
      </w:tr>
      <w:tr w:rsidR="009E6058" w14:paraId="71DA96AD" w14:textId="77777777" w:rsidTr="00F00293">
        <w:tc>
          <w:tcPr>
            <w:tcW w:w="562" w:type="dxa"/>
          </w:tcPr>
          <w:p w14:paraId="7860B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7F0B20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Разработка антикризисной финансовой стратегии организации</w:t>
            </w:r>
          </w:p>
        </w:tc>
      </w:tr>
      <w:tr w:rsidR="009E6058" w14:paraId="2330845C" w14:textId="77777777" w:rsidTr="00F00293">
        <w:tc>
          <w:tcPr>
            <w:tcW w:w="562" w:type="dxa"/>
          </w:tcPr>
          <w:p w14:paraId="69D35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186D93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Процедура банкротства в соответствии с законодательной базой (наблюдение, финансовое оздоровление, внешнее управление и др.) и характеристика особенностей учета отдельных операций.</w:t>
            </w:r>
          </w:p>
        </w:tc>
      </w:tr>
      <w:tr w:rsidR="009E6058" w14:paraId="28852DF8" w14:textId="77777777" w:rsidTr="00F00293">
        <w:tc>
          <w:tcPr>
            <w:tcW w:w="562" w:type="dxa"/>
          </w:tcPr>
          <w:p w14:paraId="17527C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8DE489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Цели оценки несостоятельности  и формирование соответствующих финансово-аналитических инструментов</w:t>
            </w:r>
          </w:p>
        </w:tc>
      </w:tr>
      <w:tr w:rsidR="009E6058" w14:paraId="61D532F7" w14:textId="77777777" w:rsidTr="00F00293">
        <w:tc>
          <w:tcPr>
            <w:tcW w:w="562" w:type="dxa"/>
          </w:tcPr>
          <w:p w14:paraId="184140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559F83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Индикаторы оперативного механизма финансовой стабилизации</w:t>
            </w:r>
          </w:p>
        </w:tc>
      </w:tr>
      <w:tr w:rsidR="009E6058" w14:paraId="7C2B74B9" w14:textId="77777777" w:rsidTr="00F00293">
        <w:tc>
          <w:tcPr>
            <w:tcW w:w="562" w:type="dxa"/>
          </w:tcPr>
          <w:p w14:paraId="4B110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567D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Превентивные мероприятия финансовой стабилизации</w:t>
            </w:r>
          </w:p>
        </w:tc>
      </w:tr>
      <w:tr w:rsidR="009E6058" w14:paraId="0424691A" w14:textId="77777777" w:rsidTr="00F00293">
        <w:tc>
          <w:tcPr>
            <w:tcW w:w="562" w:type="dxa"/>
          </w:tcPr>
          <w:p w14:paraId="2A29D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1458C4F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Модели тактического и стратегического механизмов финансовой стабилизации</w:t>
            </w:r>
          </w:p>
        </w:tc>
      </w:tr>
      <w:tr w:rsidR="009E6058" w14:paraId="2E6D9A63" w14:textId="77777777" w:rsidTr="00F00293">
        <w:tc>
          <w:tcPr>
            <w:tcW w:w="562" w:type="dxa"/>
          </w:tcPr>
          <w:p w14:paraId="03E0B8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2520F1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Механизмы финансового оздоровления коммерческой организации</w:t>
            </w:r>
          </w:p>
        </w:tc>
      </w:tr>
      <w:tr w:rsidR="009E6058" w14:paraId="57EFD8AA" w14:textId="77777777" w:rsidTr="00F00293">
        <w:tc>
          <w:tcPr>
            <w:tcW w:w="562" w:type="dxa"/>
          </w:tcPr>
          <w:p w14:paraId="3DC8A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541CA04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Сущность кризиса, причины возникновения, классификация и последствия</w:t>
            </w:r>
          </w:p>
        </w:tc>
      </w:tr>
      <w:tr w:rsidR="009E6058" w14:paraId="51BA1730" w14:textId="77777777" w:rsidTr="00F00293">
        <w:tc>
          <w:tcPr>
            <w:tcW w:w="562" w:type="dxa"/>
          </w:tcPr>
          <w:p w14:paraId="2757C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F100D7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Несостоятельность и банкротство: общее и различия</w:t>
            </w:r>
          </w:p>
        </w:tc>
      </w:tr>
      <w:tr w:rsidR="009E6058" w14:paraId="446EFD69" w14:textId="77777777" w:rsidTr="00F00293">
        <w:tc>
          <w:tcPr>
            <w:tcW w:w="562" w:type="dxa"/>
          </w:tcPr>
          <w:p w14:paraId="6B187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FE221A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Основные этапы и приемы анализа внутренней и внешней среды</w:t>
            </w:r>
          </w:p>
        </w:tc>
      </w:tr>
      <w:tr w:rsidR="009E6058" w14:paraId="706036AB" w14:textId="77777777" w:rsidTr="00F00293">
        <w:tc>
          <w:tcPr>
            <w:tcW w:w="562" w:type="dxa"/>
          </w:tcPr>
          <w:p w14:paraId="70FC8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2DF6CDE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Содержание и цели диагностики, направления диагностического исследования</w:t>
            </w:r>
          </w:p>
        </w:tc>
      </w:tr>
      <w:tr w:rsidR="009E6058" w14:paraId="1749E71F" w14:textId="77777777" w:rsidTr="00F00293">
        <w:tc>
          <w:tcPr>
            <w:tcW w:w="562" w:type="dxa"/>
          </w:tcPr>
          <w:p w14:paraId="361E3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132A48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Сравнительная характеристика традиционного процесса управления и антикризисного управления</w:t>
            </w:r>
          </w:p>
        </w:tc>
      </w:tr>
      <w:tr w:rsidR="009E6058" w14:paraId="3CF3A49F" w14:textId="77777777" w:rsidTr="00F00293">
        <w:tc>
          <w:tcPr>
            <w:tcW w:w="562" w:type="dxa"/>
          </w:tcPr>
          <w:p w14:paraId="09345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8089973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Характеристика внешних и внутренних факторов (причин) возникновения кризиса(эндогенные и  экзогенные)</w:t>
            </w:r>
          </w:p>
        </w:tc>
      </w:tr>
      <w:tr w:rsidR="009E6058" w14:paraId="649BF076" w14:textId="77777777" w:rsidTr="00F00293">
        <w:tc>
          <w:tcPr>
            <w:tcW w:w="562" w:type="dxa"/>
          </w:tcPr>
          <w:p w14:paraId="69FF4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FD11AE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Оценка возможных (потенциальных) манипуляций с отчетностью по моделям проф.М.Д. Бениша(1999) и Марии Л.Роксас (2011)</w:t>
            </w:r>
          </w:p>
        </w:tc>
      </w:tr>
      <w:tr w:rsidR="009E6058" w14:paraId="334B7D9E" w14:textId="77777777" w:rsidTr="00F00293">
        <w:tc>
          <w:tcPr>
            <w:tcW w:w="562" w:type="dxa"/>
          </w:tcPr>
          <w:p w14:paraId="4D64D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AC1FC4" w14:textId="77777777" w:rsidR="009E6058" w:rsidRPr="00EF1B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Экономический и финансовый кризисы : понятие, отличия и  основные  виды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F1B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1B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1B94" w14:paraId="5A1C9382" w14:textId="77777777" w:rsidTr="00801458">
        <w:tc>
          <w:tcPr>
            <w:tcW w:w="2336" w:type="dxa"/>
          </w:tcPr>
          <w:p w14:paraId="4C518DAB" w14:textId="77777777" w:rsidR="005D65A5" w:rsidRPr="00EF1B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F1B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F1B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F1B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1B94" w14:paraId="07658034" w14:textId="77777777" w:rsidTr="00801458">
        <w:tc>
          <w:tcPr>
            <w:tcW w:w="2336" w:type="dxa"/>
          </w:tcPr>
          <w:p w14:paraId="1553D698" w14:textId="78F29BFB" w:rsidR="005D65A5" w:rsidRPr="00EF1B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F1B94" w14:paraId="01B0CE5E" w14:textId="77777777" w:rsidTr="00801458">
        <w:tc>
          <w:tcPr>
            <w:tcW w:w="2336" w:type="dxa"/>
          </w:tcPr>
          <w:p w14:paraId="2C94D4DE" w14:textId="77777777" w:rsidR="005D65A5" w:rsidRPr="00EF1B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B71021" w14:textId="77777777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DF2A6C4" w14:textId="77777777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0F492CE" w14:textId="77777777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F1B94" w14:paraId="5851DCDF" w14:textId="77777777" w:rsidTr="00801458">
        <w:tc>
          <w:tcPr>
            <w:tcW w:w="2336" w:type="dxa"/>
          </w:tcPr>
          <w:p w14:paraId="76E9A457" w14:textId="77777777" w:rsidR="005D65A5" w:rsidRPr="00EF1B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52A6A6" w14:textId="77777777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D0279E" w14:textId="77777777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8C8EE0" w14:textId="77777777" w:rsidR="005D65A5" w:rsidRPr="00EF1B94" w:rsidRDefault="007478E0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B94" w14:paraId="76963CF0" w14:textId="77777777" w:rsidTr="00EF1B94">
        <w:tc>
          <w:tcPr>
            <w:tcW w:w="562" w:type="dxa"/>
          </w:tcPr>
          <w:p w14:paraId="4715EAE1" w14:textId="77777777" w:rsidR="00EF1B94" w:rsidRDefault="00EF1B9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E0868B" w14:textId="77777777" w:rsidR="00EF1B94" w:rsidRDefault="00EF1B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F1B94" w14:paraId="0267C479" w14:textId="77777777" w:rsidTr="00801458">
        <w:tc>
          <w:tcPr>
            <w:tcW w:w="2500" w:type="pct"/>
          </w:tcPr>
          <w:p w14:paraId="37F699C9" w14:textId="77777777" w:rsidR="00B8237E" w:rsidRPr="00EF1B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F1B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1B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1B94" w14:paraId="3F240151" w14:textId="77777777" w:rsidTr="00801458">
        <w:tc>
          <w:tcPr>
            <w:tcW w:w="2500" w:type="pct"/>
          </w:tcPr>
          <w:p w14:paraId="61E91592" w14:textId="61A0874C" w:rsidR="00B8237E" w:rsidRPr="00EF1B94" w:rsidRDefault="00B8237E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EF1B94" w:rsidRDefault="005C548A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EF1B94" w14:paraId="757B4754" w14:textId="77777777" w:rsidTr="00801458">
        <w:tc>
          <w:tcPr>
            <w:tcW w:w="2500" w:type="pct"/>
          </w:tcPr>
          <w:p w14:paraId="57934B60" w14:textId="77777777" w:rsidR="00B8237E" w:rsidRPr="00EF1B94" w:rsidRDefault="00B8237E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BF7F16" w14:textId="77777777" w:rsidR="00B8237E" w:rsidRPr="00EF1B94" w:rsidRDefault="005C548A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F1B94" w14:paraId="341A8B73" w14:textId="77777777" w:rsidTr="00801458">
        <w:tc>
          <w:tcPr>
            <w:tcW w:w="2500" w:type="pct"/>
          </w:tcPr>
          <w:p w14:paraId="156C67A4" w14:textId="77777777" w:rsidR="00B8237E" w:rsidRPr="00EF1B94" w:rsidRDefault="00B8237E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AD0B772" w14:textId="77777777" w:rsidR="00B8237E" w:rsidRPr="00EF1B94" w:rsidRDefault="005C548A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F1B94" w14:paraId="2EE2B4A1" w14:textId="77777777" w:rsidTr="00801458">
        <w:tc>
          <w:tcPr>
            <w:tcW w:w="2500" w:type="pct"/>
          </w:tcPr>
          <w:p w14:paraId="79647824" w14:textId="77777777" w:rsidR="00B8237E" w:rsidRPr="00EF1B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E61F437" w14:textId="77777777" w:rsidR="00B8237E" w:rsidRPr="00EF1B94" w:rsidRDefault="005C548A" w:rsidP="00801458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D49F9" w:rsidRPr="00EF1B94" w14:paraId="0E6EEF43" w14:textId="77777777" w:rsidTr="00ED49F9">
        <w:tc>
          <w:tcPr>
            <w:tcW w:w="2500" w:type="pct"/>
          </w:tcPr>
          <w:p w14:paraId="7F02BD6D" w14:textId="5EC196D4" w:rsidR="00ED49F9" w:rsidRPr="00EF1B94" w:rsidRDefault="00ED49F9" w:rsidP="00ED49F9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2729ECD2" w14:textId="77777777" w:rsidR="00ED49F9" w:rsidRPr="00EF1B94" w:rsidRDefault="00ED49F9" w:rsidP="00D8261E">
            <w:pPr>
              <w:rPr>
                <w:rFonts w:ascii="Times New Roman" w:hAnsi="Times New Roman" w:cs="Times New Roman"/>
              </w:rPr>
            </w:pPr>
            <w:r w:rsidRPr="00EF1B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3FE3A" w14:textId="77777777" w:rsidR="000F10EF" w:rsidRDefault="000F10EF" w:rsidP="00315CA6">
      <w:pPr>
        <w:spacing w:after="0" w:line="240" w:lineRule="auto"/>
      </w:pPr>
      <w:r>
        <w:separator/>
      </w:r>
    </w:p>
  </w:endnote>
  <w:endnote w:type="continuationSeparator" w:id="0">
    <w:p w14:paraId="1845B1D3" w14:textId="77777777" w:rsidR="000F10EF" w:rsidRDefault="000F10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7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6943A" w14:textId="77777777" w:rsidR="000F10EF" w:rsidRDefault="000F10EF" w:rsidP="00315CA6">
      <w:pPr>
        <w:spacing w:after="0" w:line="240" w:lineRule="auto"/>
      </w:pPr>
      <w:r>
        <w:separator/>
      </w:r>
    </w:p>
  </w:footnote>
  <w:footnote w:type="continuationSeparator" w:id="0">
    <w:p w14:paraId="0AEFF231" w14:textId="77777777" w:rsidR="000F10EF" w:rsidRDefault="000F10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1E0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0E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68D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478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9F9"/>
    <w:rsid w:val="00ED54AA"/>
    <w:rsid w:val="00ED577F"/>
    <w:rsid w:val="00ED6AF6"/>
    <w:rsid w:val="00EE1C3E"/>
    <w:rsid w:val="00EE24E1"/>
    <w:rsid w:val="00EF1B9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aliz-i-ocenka-riskov-v-biznese-468977" TargetMode="External"/><Relationship Id="rId18" Type="http://schemas.openxmlformats.org/officeDocument/2006/relationships/hyperlink" Target="https://znanium.com/bookread2.php?book=1028965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68822" TargetMode="External"/><Relationship Id="rId17" Type="http://schemas.openxmlformats.org/officeDocument/2006/relationships/hyperlink" Target="https://www.urait.ru/bcode/445347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89388510.pdf" TargetMode="External"/><Relationship Id="rId20" Type="http://schemas.openxmlformats.org/officeDocument/2006/relationships/hyperlink" Target="https://urait.ru/bcode/4731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02078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3099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65803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CA2597-729E-41C8-A1C2-66753E28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3632</Words>
  <Characters>20707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2024-01-26T13:01:00Z</cp:lastPrinted>
  <dcterms:created xsi:type="dcterms:W3CDTF">2023-10-27T08:22:00Z</dcterms:created>
  <dcterms:modified xsi:type="dcterms:W3CDTF">2024-01-26T13:01:00Z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