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2F086259" w:rsidR="001400FE" w:rsidRPr="00352B6F" w:rsidRDefault="003F3998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F3998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рынки капитала и инструменты хеджирования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D38ED9" w:rsidR="00A77598" w:rsidRPr="003F3998" w:rsidRDefault="003F39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6C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C0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B6C0E">
              <w:rPr>
                <w:rFonts w:ascii="Times New Roman" w:hAnsi="Times New Roman" w:cs="Times New Roman"/>
                <w:sz w:val="20"/>
                <w:szCs w:val="20"/>
              </w:rPr>
              <w:t>Гудовская</w:t>
            </w:r>
            <w:proofErr w:type="spellEnd"/>
            <w:r w:rsidRPr="00EB6C0E">
              <w:rPr>
                <w:rFonts w:ascii="Times New Roman" w:hAnsi="Times New Roman" w:cs="Times New Roman"/>
                <w:sz w:val="20"/>
                <w:szCs w:val="20"/>
              </w:rPr>
              <w:t xml:space="preserve"> Любовь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EC7D80" w:rsidR="004475DA" w:rsidRPr="003F3998" w:rsidRDefault="003F39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2F5304" w14:textId="77777777" w:rsidR="00EB6C0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7514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_Toc183447514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3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22909BCB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15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_Toc183447515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3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20B57E55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16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_Toc183447516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3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6DBC5692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17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_Toc183447517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3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6D521B1E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18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_Toc183447518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4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01E74650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19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_Toc183447519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5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20811AA5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0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_Toc183447520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5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13E7EC89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1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_Toc183447521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5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4369FDEA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2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_Toc183447522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6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543ED20C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3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_Toc183447523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7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090D009D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4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_Toc183447524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8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52DD29E0" w14:textId="77777777" w:rsidR="00EB6C0E" w:rsidRDefault="007B7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5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_Toc183447525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9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099C61FA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6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_Toc183447526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9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4F676100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7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_Toc183447527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9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4C012B25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8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_Toc183447528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9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63E104BA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29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_Toc183447529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10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4A7F4F0D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30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_Toc183447530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10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11088CC1" w14:textId="77777777" w:rsidR="00EB6C0E" w:rsidRDefault="007B75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7531" w:history="1">
            <w:r w:rsidR="00EB6C0E" w:rsidRPr="0022779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B6C0E">
              <w:rPr>
                <w:noProof/>
                <w:webHidden/>
              </w:rPr>
              <w:tab/>
            </w:r>
            <w:r w:rsidR="00EB6C0E">
              <w:rPr>
                <w:noProof/>
                <w:webHidden/>
              </w:rPr>
              <w:fldChar w:fldCharType="begin"/>
            </w:r>
            <w:r w:rsidR="00EB6C0E">
              <w:rPr>
                <w:noProof/>
                <w:webHidden/>
              </w:rPr>
              <w:instrText xml:space="preserve"> PAGEREF _Toc183447531 \h </w:instrText>
            </w:r>
            <w:r w:rsidR="00EB6C0E">
              <w:rPr>
                <w:noProof/>
                <w:webHidden/>
              </w:rPr>
            </w:r>
            <w:r w:rsidR="00EB6C0E">
              <w:rPr>
                <w:noProof/>
                <w:webHidden/>
              </w:rPr>
              <w:fldChar w:fldCharType="separate"/>
            </w:r>
            <w:r w:rsidR="00EB6C0E">
              <w:rPr>
                <w:noProof/>
                <w:webHidden/>
              </w:rPr>
              <w:t>10</w:t>
            </w:r>
            <w:r w:rsidR="00EB6C0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475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и практических знаний в области международного финансирования и хеджирования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47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2FD30981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3F3998" w:rsidRPr="003F3998">
        <w:rPr>
          <w:sz w:val="28"/>
          <w:szCs w:val="28"/>
        </w:rPr>
        <w:t>Международные рынки капитала и инструменты хеджирования</w:t>
      </w:r>
      <w:r w:rsidR="003F3998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75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029"/>
        <w:gridCol w:w="5430"/>
      </w:tblGrid>
      <w:tr w:rsidR="00751095" w:rsidRPr="00EB6C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6C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6C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6C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6C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6C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0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B6C0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B6C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6C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EB6C0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B6C0E">
              <w:rPr>
                <w:rFonts w:ascii="Times New Roman" w:hAnsi="Times New Roman" w:cs="Times New Roman"/>
              </w:rPr>
              <w:t xml:space="preserve"> осуществлять деятельность по построению интегрированной системы управления рисками в финансово-кредитной организации и обеспечивать ее функционирование на всех стадиях (этапах)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6C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0E">
              <w:rPr>
                <w:rFonts w:ascii="Times New Roman" w:hAnsi="Times New Roman" w:cs="Times New Roman"/>
                <w:lang w:bidi="ru-RU"/>
              </w:rPr>
              <w:t xml:space="preserve">ПК-1.2 - Разрабатывает и поддерживает функционирование комплексной интегрированной системы управления рисками в </w:t>
            </w:r>
            <w:proofErr w:type="gramStart"/>
            <w:r w:rsidRPr="00EB6C0E">
              <w:rPr>
                <w:rFonts w:ascii="Times New Roman" w:hAnsi="Times New Roman" w:cs="Times New Roman"/>
                <w:lang w:bidi="ru-RU"/>
              </w:rPr>
              <w:t>банках</w:t>
            </w:r>
            <w:proofErr w:type="gramEnd"/>
            <w:r w:rsidRPr="00EB6C0E">
              <w:rPr>
                <w:rFonts w:ascii="Times New Roman" w:hAnsi="Times New Roman" w:cs="Times New Roman"/>
                <w:lang w:bidi="ru-RU"/>
              </w:rPr>
              <w:t xml:space="preserve"> и иных финансово-кредитных организациях, в т ом числе обеспечивает работу сотрудников и подразделений банка в сфере управления рисками, поддерживает внутренние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6C0E">
              <w:rPr>
                <w:rFonts w:ascii="Times New Roman" w:hAnsi="Times New Roman" w:cs="Times New Roman"/>
              </w:rPr>
              <w:t>основные способы финансового обеспечения компании на международных финансовых рынках, особенности деятельности коммерческих банков на МФР, методы управления финансовыми рисками и использования производных валютно-финансовых инструментов.</w:t>
            </w:r>
            <w:r w:rsidRPr="00EB6C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B6C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6C0E">
              <w:rPr>
                <w:rFonts w:ascii="Times New Roman" w:hAnsi="Times New Roman" w:cs="Times New Roman"/>
              </w:rPr>
              <w:t>выявлять приоритетные направления развития МФР и определять их влияние на риски, регулирование и деятельность компаний различного типа в части привлечения капиталов, идентифицировать и измерять величину финансовых рисков, с которыми сталкиваются компании на МФР</w:t>
            </w:r>
            <w:proofErr w:type="gramStart"/>
            <w:r w:rsidR="00FD518F" w:rsidRPr="00EB6C0E">
              <w:rPr>
                <w:rFonts w:ascii="Times New Roman" w:hAnsi="Times New Roman" w:cs="Times New Roman"/>
              </w:rPr>
              <w:t>.</w:t>
            </w:r>
            <w:r w:rsidRPr="00EB6C0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B6C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6C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6C0E">
              <w:rPr>
                <w:rFonts w:ascii="Times New Roman" w:hAnsi="Times New Roman" w:cs="Times New Roman"/>
              </w:rPr>
              <w:t xml:space="preserve">навыками определения направлений развития МФР и деятельности на нем финансово-кредитной организации, поиска оптимальных валютно-финансовых инструментов с целью эффективного построения хеджирования рисков в </w:t>
            </w:r>
            <w:proofErr w:type="gramStart"/>
            <w:r w:rsidR="00FD518F" w:rsidRPr="00EB6C0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EB6C0E">
              <w:rPr>
                <w:rFonts w:ascii="Times New Roman" w:hAnsi="Times New Roman" w:cs="Times New Roman"/>
              </w:rPr>
              <w:t xml:space="preserve"> комплексной деятельности по управлению рисками.</w:t>
            </w:r>
            <w:r w:rsidRPr="00EB6C0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B6C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75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Мировой финансовый рынок. Каналы международного финансирования: международные рынки капитала и в рамках торгового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финансового рынка. Сегменты мирового финансового рынка. Инструменты финансирования, обращающиеся на рынке, участники рынка. Международные рынки капиталов как составная часть глобального финансового пространства. Теория Х. Мински: содержание, основные постулаты. Торговое финансирование. Каналы международного финансирования. Выбор способа финансирования с учетом внешнего и внутреннего контекста процесса управления финансовыми рисками в кредитной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B5BFB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805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Синдицированный кредит и кредитные ноты как разновидность международного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E08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виды, функции международного кредита. Понятие, организация синдицированного кредита. Сравнительная характеристика синдицированного кредита с кредитными нотами и еврооблигациями.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F21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5F8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900B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25B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5AED57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D662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Еврооблигации как один из наиболее актуальных инструментов международных рынков капиталов.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7C4A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механизм эмиссии еврооблигаций, особенности, проблемы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325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2435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4AF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84A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427567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0D1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Инструменты хеджирования финансовых рисков, сопровождающих операции по международному финансированию.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658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финансовых рисков при осуществлении операций по международному финансированию. Методики и лучшие практики определения ключевых индикаторов финансовых рисков  и их предельно допустимых уровней. Понятие инструментов хеджирования финансовых рисков. Виды инструментов. Стратегии хеджирования.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BA9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E64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BED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5A1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75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75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6C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Киевич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Гудовская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Л.В. Международные операции </w:t>
            </w:r>
            <w:proofErr w:type="gram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коммерческих</w:t>
            </w:r>
            <w:proofErr w:type="gram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банков. – Санкт-Петербург, СПбГЭУ,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6C0E" w:rsidRDefault="007B75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http://opac.unecon.ru/elibrary/elib/407415108.pdf</w:t>
              </w:r>
            </w:hyperlink>
          </w:p>
        </w:tc>
      </w:tr>
      <w:tr w:rsidR="00262CF0" w:rsidRPr="007E6725" w14:paraId="2F414F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478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Е.М.Попова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С.Ю.Янова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Л.В.Гудовская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Е.М.Поповой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B6C0E">
              <w:rPr>
                <w:rFonts w:ascii="Times New Roman" w:hAnsi="Times New Roman" w:cs="Times New Roman"/>
                <w:sz w:val="24"/>
                <w:szCs w:val="24"/>
              </w:rPr>
              <w:t xml:space="preserve">анков, фин. рынков и страхования.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9EEEF1" w14:textId="77777777" w:rsidR="00262CF0" w:rsidRPr="007E6725" w:rsidRDefault="007B75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B6C0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B8%D1%82%D0%BD%D0%BE%D0%B9.pdf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75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ECE194" w14:textId="77777777" w:rsidTr="007B550D">
        <w:tc>
          <w:tcPr>
            <w:tcW w:w="9345" w:type="dxa"/>
          </w:tcPr>
          <w:p w14:paraId="779EFA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158A97" w14:textId="77777777" w:rsidTr="007B550D">
        <w:tc>
          <w:tcPr>
            <w:tcW w:w="9345" w:type="dxa"/>
          </w:tcPr>
          <w:p w14:paraId="2296BE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077A01" w14:textId="77777777" w:rsidTr="007B550D">
        <w:tc>
          <w:tcPr>
            <w:tcW w:w="9345" w:type="dxa"/>
          </w:tcPr>
          <w:p w14:paraId="31726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EA5E2C" w14:textId="77777777" w:rsidTr="007B550D">
        <w:tc>
          <w:tcPr>
            <w:tcW w:w="9345" w:type="dxa"/>
          </w:tcPr>
          <w:p w14:paraId="4FE031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75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75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75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6C0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6C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6C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6C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6C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6C0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0E">
              <w:rPr>
                <w:sz w:val="22"/>
                <w:szCs w:val="22"/>
              </w:rPr>
              <w:t>комплексом</w:t>
            </w:r>
            <w:proofErr w:type="gramStart"/>
            <w:r w:rsidRPr="00EB6C0E">
              <w:rPr>
                <w:sz w:val="22"/>
                <w:szCs w:val="22"/>
              </w:rPr>
              <w:t>.С</w:t>
            </w:r>
            <w:proofErr w:type="gramEnd"/>
            <w:r w:rsidRPr="00EB6C0E">
              <w:rPr>
                <w:sz w:val="22"/>
                <w:szCs w:val="22"/>
              </w:rPr>
              <w:t>пециализированная</w:t>
            </w:r>
            <w:proofErr w:type="spellEnd"/>
            <w:r w:rsidRPr="00EB6C0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B6C0E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EB6C0E">
              <w:rPr>
                <w:sz w:val="22"/>
                <w:szCs w:val="22"/>
                <w:lang w:val="en-US"/>
              </w:rPr>
              <w:t>Intel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Core</w:t>
            </w:r>
            <w:r w:rsidRPr="00EB6C0E">
              <w:rPr>
                <w:sz w:val="22"/>
                <w:szCs w:val="22"/>
              </w:rPr>
              <w:t xml:space="preserve"> 2 </w:t>
            </w:r>
            <w:r w:rsidRPr="00EB6C0E">
              <w:rPr>
                <w:sz w:val="22"/>
                <w:szCs w:val="22"/>
                <w:lang w:val="en-US"/>
              </w:rPr>
              <w:t>Duo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E</w:t>
            </w:r>
            <w:r w:rsidRPr="00EB6C0E">
              <w:rPr>
                <w:sz w:val="22"/>
                <w:szCs w:val="22"/>
              </w:rPr>
              <w:t>7300 2.6/2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/120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</w:t>
            </w:r>
            <w:r w:rsidRPr="00EB6C0E">
              <w:rPr>
                <w:sz w:val="22"/>
                <w:szCs w:val="22"/>
                <w:lang w:val="en-US"/>
              </w:rPr>
              <w:t>Philips</w:t>
            </w:r>
            <w:r w:rsidRPr="00EB6C0E">
              <w:rPr>
                <w:sz w:val="22"/>
                <w:szCs w:val="22"/>
              </w:rPr>
              <w:t xml:space="preserve">, Акустическая система </w:t>
            </w:r>
            <w:r w:rsidRPr="00EB6C0E">
              <w:rPr>
                <w:sz w:val="22"/>
                <w:szCs w:val="22"/>
                <w:lang w:val="en-US"/>
              </w:rPr>
              <w:t>JBL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CONTROL</w:t>
            </w:r>
            <w:r w:rsidRPr="00EB6C0E">
              <w:rPr>
                <w:sz w:val="22"/>
                <w:szCs w:val="22"/>
              </w:rPr>
              <w:t xml:space="preserve"> 25 </w:t>
            </w:r>
            <w:r w:rsidRPr="00EB6C0E">
              <w:rPr>
                <w:sz w:val="22"/>
                <w:szCs w:val="22"/>
                <w:lang w:val="en-US"/>
              </w:rPr>
              <w:t>WH</w:t>
            </w:r>
            <w:r w:rsidRPr="00EB6C0E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EB6C0E">
              <w:rPr>
                <w:sz w:val="22"/>
                <w:szCs w:val="22"/>
                <w:lang w:val="en-US"/>
              </w:rPr>
              <w:t>Acer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P</w:t>
            </w:r>
            <w:r w:rsidRPr="00EB6C0E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6C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6C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B6C0E" w14:paraId="35E0967C" w14:textId="77777777" w:rsidTr="008416EB">
        <w:tc>
          <w:tcPr>
            <w:tcW w:w="7797" w:type="dxa"/>
            <w:shd w:val="clear" w:color="auto" w:fill="auto"/>
          </w:tcPr>
          <w:p w14:paraId="482B9EB7" w14:textId="77777777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0E">
              <w:rPr>
                <w:sz w:val="22"/>
                <w:szCs w:val="22"/>
              </w:rPr>
              <w:t>комплексом</w:t>
            </w:r>
            <w:proofErr w:type="gramStart"/>
            <w:r w:rsidRPr="00EB6C0E">
              <w:rPr>
                <w:sz w:val="22"/>
                <w:szCs w:val="22"/>
              </w:rPr>
              <w:t>.С</w:t>
            </w:r>
            <w:proofErr w:type="gramEnd"/>
            <w:r w:rsidRPr="00EB6C0E">
              <w:rPr>
                <w:sz w:val="22"/>
                <w:szCs w:val="22"/>
              </w:rPr>
              <w:t>пециализированная</w:t>
            </w:r>
            <w:proofErr w:type="spellEnd"/>
            <w:r w:rsidRPr="00EB6C0E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EB6C0E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EB6C0E">
              <w:rPr>
                <w:sz w:val="22"/>
                <w:szCs w:val="22"/>
                <w:lang w:val="en-US"/>
              </w:rPr>
              <w:t>Intel</w:t>
            </w:r>
            <w:r w:rsidRPr="00EB6C0E">
              <w:rPr>
                <w:sz w:val="22"/>
                <w:szCs w:val="22"/>
              </w:rPr>
              <w:t xml:space="preserve">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0E">
              <w:rPr>
                <w:sz w:val="22"/>
                <w:szCs w:val="22"/>
              </w:rPr>
              <w:t>3 2100 3.1/2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/500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</w:t>
            </w:r>
            <w:r w:rsidRPr="00EB6C0E">
              <w:rPr>
                <w:sz w:val="22"/>
                <w:szCs w:val="22"/>
                <w:lang w:val="en-US"/>
              </w:rPr>
              <w:t>LG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L</w:t>
            </w:r>
            <w:r w:rsidRPr="00EB6C0E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B6C0E">
              <w:rPr>
                <w:sz w:val="22"/>
                <w:szCs w:val="22"/>
              </w:rPr>
              <w:t>Мультимедиф</w:t>
            </w:r>
            <w:proofErr w:type="spellEnd"/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Epson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EB</w:t>
            </w:r>
            <w:r w:rsidRPr="00EB6C0E">
              <w:rPr>
                <w:sz w:val="22"/>
                <w:szCs w:val="22"/>
              </w:rPr>
              <w:t>-</w:t>
            </w:r>
            <w:r w:rsidRPr="00EB6C0E">
              <w:rPr>
                <w:sz w:val="22"/>
                <w:szCs w:val="22"/>
                <w:lang w:val="en-US"/>
              </w:rPr>
              <w:t>X</w:t>
            </w:r>
            <w:r w:rsidRPr="00EB6C0E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TA</w:t>
            </w:r>
            <w:r w:rsidRPr="00EB6C0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B6C0E">
              <w:rPr>
                <w:sz w:val="22"/>
                <w:szCs w:val="22"/>
                <w:lang w:val="en-US"/>
              </w:rPr>
              <w:t>Hi</w:t>
            </w:r>
            <w:r w:rsidRPr="00EB6C0E">
              <w:rPr>
                <w:sz w:val="22"/>
                <w:szCs w:val="22"/>
              </w:rPr>
              <w:t>-</w:t>
            </w:r>
            <w:r w:rsidRPr="00EB6C0E">
              <w:rPr>
                <w:sz w:val="22"/>
                <w:szCs w:val="22"/>
                <w:lang w:val="en-US"/>
              </w:rPr>
              <w:t>Fi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PRO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MASK</w:t>
            </w:r>
            <w:r w:rsidRPr="00EB6C0E">
              <w:rPr>
                <w:sz w:val="22"/>
                <w:szCs w:val="22"/>
              </w:rPr>
              <w:t>6</w:t>
            </w:r>
            <w:r w:rsidRPr="00EB6C0E">
              <w:rPr>
                <w:sz w:val="22"/>
                <w:szCs w:val="22"/>
                <w:lang w:val="en-US"/>
              </w:rPr>
              <w:t>T</w:t>
            </w:r>
            <w:r w:rsidRPr="00EB6C0E">
              <w:rPr>
                <w:sz w:val="22"/>
                <w:szCs w:val="22"/>
              </w:rPr>
              <w:t>-</w:t>
            </w:r>
            <w:r w:rsidRPr="00EB6C0E">
              <w:rPr>
                <w:sz w:val="22"/>
                <w:szCs w:val="22"/>
                <w:lang w:val="en-US"/>
              </w:rPr>
              <w:t>W</w:t>
            </w:r>
            <w:r w:rsidRPr="00EB6C0E">
              <w:rPr>
                <w:sz w:val="22"/>
                <w:szCs w:val="22"/>
              </w:rPr>
              <w:t xml:space="preserve"> - 2 шт., Экран  с электроприводом </w:t>
            </w:r>
            <w:r w:rsidRPr="00EB6C0E">
              <w:rPr>
                <w:sz w:val="22"/>
                <w:szCs w:val="22"/>
                <w:lang w:val="en-US"/>
              </w:rPr>
              <w:t>Draper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Baronet</w:t>
            </w:r>
            <w:r w:rsidRPr="00EB6C0E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EB6C0E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74BF6D" w14:textId="77777777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6C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6C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B6C0E" w14:paraId="7A6082BC" w14:textId="77777777" w:rsidTr="008416EB">
        <w:tc>
          <w:tcPr>
            <w:tcW w:w="7797" w:type="dxa"/>
            <w:shd w:val="clear" w:color="auto" w:fill="auto"/>
          </w:tcPr>
          <w:p w14:paraId="03F9DD61" w14:textId="77777777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Ауд. 401 </w:t>
            </w:r>
            <w:proofErr w:type="spellStart"/>
            <w:r w:rsidRPr="00EB6C0E">
              <w:rPr>
                <w:sz w:val="22"/>
                <w:szCs w:val="22"/>
              </w:rPr>
              <w:t>пом</w:t>
            </w:r>
            <w:proofErr w:type="spellEnd"/>
            <w:r w:rsidRPr="00EB6C0E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EB6C0E">
              <w:rPr>
                <w:sz w:val="22"/>
                <w:szCs w:val="22"/>
              </w:rPr>
              <w:t>комплекс"</w:t>
            </w:r>
            <w:proofErr w:type="gramStart"/>
            <w:r w:rsidRPr="00EB6C0E">
              <w:rPr>
                <w:sz w:val="22"/>
                <w:szCs w:val="22"/>
              </w:rPr>
              <w:t>.С</w:t>
            </w:r>
            <w:proofErr w:type="gramEnd"/>
            <w:r w:rsidRPr="00EB6C0E">
              <w:rPr>
                <w:sz w:val="22"/>
                <w:szCs w:val="22"/>
              </w:rPr>
              <w:t>пециализированная</w:t>
            </w:r>
            <w:proofErr w:type="spellEnd"/>
            <w:r w:rsidRPr="00EB6C0E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EB6C0E">
              <w:rPr>
                <w:sz w:val="22"/>
                <w:szCs w:val="22"/>
                <w:lang w:val="en-US"/>
              </w:rPr>
              <w:t>Intel</w:t>
            </w:r>
            <w:r w:rsidRPr="00EB6C0E">
              <w:rPr>
                <w:sz w:val="22"/>
                <w:szCs w:val="22"/>
              </w:rPr>
              <w:t xml:space="preserve"> </w:t>
            </w:r>
            <w:r w:rsidRPr="00EB6C0E">
              <w:rPr>
                <w:sz w:val="22"/>
                <w:szCs w:val="22"/>
                <w:lang w:val="en-US"/>
              </w:rPr>
              <w:t>Core</w:t>
            </w:r>
            <w:r w:rsidRPr="00EB6C0E">
              <w:rPr>
                <w:sz w:val="22"/>
                <w:szCs w:val="22"/>
              </w:rPr>
              <w:t xml:space="preserve">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0E">
              <w:rPr>
                <w:sz w:val="22"/>
                <w:szCs w:val="22"/>
              </w:rPr>
              <w:t>5-2400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EB6C0E">
              <w:rPr>
                <w:sz w:val="22"/>
                <w:szCs w:val="22"/>
              </w:rPr>
              <w:t>/8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/500</w:t>
            </w:r>
            <w:r w:rsidRPr="00EB6C0E">
              <w:rPr>
                <w:sz w:val="22"/>
                <w:szCs w:val="22"/>
                <w:lang w:val="en-US"/>
              </w:rPr>
              <w:t>Gb</w:t>
            </w:r>
            <w:r w:rsidRPr="00EB6C0E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AE8CE9" w14:textId="77777777" w:rsidR="002C735C" w:rsidRPr="00EB6C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6C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6C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6C0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75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7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75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75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Международные инструменты финансирования для корпоративного сектора.</w:t>
            </w:r>
          </w:p>
        </w:tc>
      </w:tr>
      <w:tr w:rsidR="009E6058" w14:paraId="304FBD65" w14:textId="77777777" w:rsidTr="00F00293">
        <w:tc>
          <w:tcPr>
            <w:tcW w:w="562" w:type="dxa"/>
          </w:tcPr>
          <w:p w14:paraId="63845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7FE3B6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Барьерные опционы: формы и стратегии использования.</w:t>
            </w:r>
          </w:p>
        </w:tc>
      </w:tr>
      <w:tr w:rsidR="009E6058" w14:paraId="79864E67" w14:textId="77777777" w:rsidTr="00F00293">
        <w:tc>
          <w:tcPr>
            <w:tcW w:w="562" w:type="dxa"/>
          </w:tcPr>
          <w:p w14:paraId="7E21A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AA2625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Хеджирование валютного и процентного риска с помощью форвардов: проблемы реализации.</w:t>
            </w:r>
          </w:p>
        </w:tc>
      </w:tr>
      <w:tr w:rsidR="009E6058" w14:paraId="4A672F2B" w14:textId="77777777" w:rsidTr="00F00293">
        <w:tc>
          <w:tcPr>
            <w:tcW w:w="562" w:type="dxa"/>
          </w:tcPr>
          <w:p w14:paraId="307AB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5B94C5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Хеджирование процентного риска с помощью опционов: основные стратегии.</w:t>
            </w:r>
          </w:p>
        </w:tc>
      </w:tr>
      <w:tr w:rsidR="009E6058" w14:paraId="725F5C77" w14:textId="77777777" w:rsidTr="00F00293">
        <w:tc>
          <w:tcPr>
            <w:tcW w:w="562" w:type="dxa"/>
          </w:tcPr>
          <w:p w14:paraId="73896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BA125C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Сравнительная характеристика форвардов и фьючерсов: преимущества и недостатки.</w:t>
            </w:r>
            <w:r w:rsidRPr="00EB6C0E">
              <w:rPr>
                <w:sz w:val="23"/>
                <w:szCs w:val="23"/>
              </w:rPr>
              <w:br/>
            </w:r>
          </w:p>
        </w:tc>
      </w:tr>
      <w:tr w:rsidR="009E6058" w14:paraId="6BB51F69" w14:textId="77777777" w:rsidTr="00F00293">
        <w:tc>
          <w:tcPr>
            <w:tcW w:w="562" w:type="dxa"/>
          </w:tcPr>
          <w:p w14:paraId="4F6B2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42048B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Преимущества и недостатки опционов по сравнению с другими производными инструментами.</w:t>
            </w:r>
          </w:p>
        </w:tc>
      </w:tr>
      <w:tr w:rsidR="009E6058" w14:paraId="47CEBF3E" w14:textId="77777777" w:rsidTr="00F00293">
        <w:tc>
          <w:tcPr>
            <w:tcW w:w="562" w:type="dxa"/>
          </w:tcPr>
          <w:p w14:paraId="1E82F3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D5DEBD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Еврооблигации: понятие, особенности финансирования, преимущества и недостатки.</w:t>
            </w:r>
          </w:p>
        </w:tc>
      </w:tr>
      <w:tr w:rsidR="009E6058" w14:paraId="018ED3FE" w14:textId="77777777" w:rsidTr="00F00293">
        <w:tc>
          <w:tcPr>
            <w:tcW w:w="562" w:type="dxa"/>
          </w:tcPr>
          <w:p w14:paraId="618B8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700579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Сравнительная характеристика кредитных нот с еврооблигациями и синдицированным кредитованием.</w:t>
            </w:r>
          </w:p>
        </w:tc>
      </w:tr>
      <w:tr w:rsidR="009E6058" w14:paraId="06B8BA85" w14:textId="77777777" w:rsidTr="00F00293">
        <w:tc>
          <w:tcPr>
            <w:tcW w:w="562" w:type="dxa"/>
          </w:tcPr>
          <w:p w14:paraId="5F677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C1AA8E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Кредитно-дефолтные свопы: механизм использования.</w:t>
            </w:r>
          </w:p>
        </w:tc>
      </w:tr>
      <w:tr w:rsidR="009E6058" w14:paraId="6F8AC617" w14:textId="77777777" w:rsidTr="00F00293">
        <w:tc>
          <w:tcPr>
            <w:tcW w:w="562" w:type="dxa"/>
          </w:tcPr>
          <w:p w14:paraId="77D82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0BBE28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Асимметричность рисков при сделках со свопами.</w:t>
            </w:r>
          </w:p>
        </w:tc>
      </w:tr>
      <w:tr w:rsidR="009E6058" w14:paraId="115549C3" w14:textId="77777777" w:rsidTr="00F00293">
        <w:tc>
          <w:tcPr>
            <w:tcW w:w="562" w:type="dxa"/>
          </w:tcPr>
          <w:p w14:paraId="39DE5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CC43E4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Дискуссионные вопросы о сущности производных инструментов.</w:t>
            </w:r>
          </w:p>
        </w:tc>
      </w:tr>
      <w:tr w:rsidR="009E6058" w14:paraId="5A27BD7A" w14:textId="77777777" w:rsidTr="00F00293">
        <w:tc>
          <w:tcPr>
            <w:tcW w:w="562" w:type="dxa"/>
          </w:tcPr>
          <w:p w14:paraId="0FFB7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5EE944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Российские банки на мировых финансовых рынках</w:t>
            </w:r>
            <w:proofErr w:type="gramStart"/>
            <w:r w:rsidRPr="00EB6C0E">
              <w:rPr>
                <w:sz w:val="23"/>
                <w:szCs w:val="23"/>
              </w:rPr>
              <w:t xml:space="preserve"> :</w:t>
            </w:r>
            <w:proofErr w:type="gramEnd"/>
            <w:r w:rsidRPr="00EB6C0E">
              <w:rPr>
                <w:sz w:val="23"/>
                <w:szCs w:val="23"/>
              </w:rPr>
              <w:t xml:space="preserve"> архитектура и основные тренды.</w:t>
            </w:r>
          </w:p>
        </w:tc>
      </w:tr>
      <w:tr w:rsidR="009E6058" w14:paraId="331B8708" w14:textId="77777777" w:rsidTr="00F00293">
        <w:tc>
          <w:tcPr>
            <w:tcW w:w="562" w:type="dxa"/>
          </w:tcPr>
          <w:p w14:paraId="419CE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74EFAD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Мировой финансовый рынок: понятие, эволюция.</w:t>
            </w:r>
          </w:p>
        </w:tc>
      </w:tr>
      <w:tr w:rsidR="009E6058" w14:paraId="1C9EB98D" w14:textId="77777777" w:rsidTr="00F00293">
        <w:tc>
          <w:tcPr>
            <w:tcW w:w="562" w:type="dxa"/>
          </w:tcPr>
          <w:p w14:paraId="42180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ECA294A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Сравнительная характеристика хеджирования и спекуляции на валютном рынке.</w:t>
            </w:r>
          </w:p>
        </w:tc>
      </w:tr>
      <w:tr w:rsidR="009E6058" w14:paraId="77A523F8" w14:textId="77777777" w:rsidTr="00F00293">
        <w:tc>
          <w:tcPr>
            <w:tcW w:w="562" w:type="dxa"/>
          </w:tcPr>
          <w:p w14:paraId="10411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CEF693D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Синдицированный кредит как особая форма международного финансирования.</w:t>
            </w:r>
          </w:p>
        </w:tc>
      </w:tr>
      <w:tr w:rsidR="009E6058" w14:paraId="33A1DD1C" w14:textId="77777777" w:rsidTr="00F00293">
        <w:tc>
          <w:tcPr>
            <w:tcW w:w="562" w:type="dxa"/>
          </w:tcPr>
          <w:p w14:paraId="1561E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E76886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Обслуживание внешнеэкономической деятельности корпоративных клиентов в банке.</w:t>
            </w:r>
          </w:p>
        </w:tc>
      </w:tr>
      <w:tr w:rsidR="009E6058" w14:paraId="7D120C9E" w14:textId="77777777" w:rsidTr="00F00293">
        <w:tc>
          <w:tcPr>
            <w:tcW w:w="562" w:type="dxa"/>
          </w:tcPr>
          <w:p w14:paraId="63AC3B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16F11FD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Мировой финансовый рынок и его структура.</w:t>
            </w:r>
          </w:p>
        </w:tc>
      </w:tr>
      <w:tr w:rsidR="009E6058" w14:paraId="04C17AC8" w14:textId="77777777" w:rsidTr="00F00293">
        <w:tc>
          <w:tcPr>
            <w:tcW w:w="562" w:type="dxa"/>
          </w:tcPr>
          <w:p w14:paraId="387B1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3A32F3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Регулирования ОВП с использованием основных ПИ.</w:t>
            </w:r>
          </w:p>
        </w:tc>
      </w:tr>
      <w:tr w:rsidR="009E6058" w14:paraId="6416C474" w14:textId="77777777" w:rsidTr="00F00293">
        <w:tc>
          <w:tcPr>
            <w:tcW w:w="562" w:type="dxa"/>
          </w:tcPr>
          <w:p w14:paraId="0D901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DE0FF3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Кредитно-дефолтные свопы: понятие, механизм использования.</w:t>
            </w:r>
          </w:p>
        </w:tc>
      </w:tr>
      <w:tr w:rsidR="009E6058" w14:paraId="18BE6D2C" w14:textId="77777777" w:rsidTr="00F00293">
        <w:tc>
          <w:tcPr>
            <w:tcW w:w="562" w:type="dxa"/>
          </w:tcPr>
          <w:p w14:paraId="587B7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35F9D7" w14:textId="77777777" w:rsidR="009E6058" w:rsidRPr="00EB6C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Основные характеристики организации международного синдицированного кредитования.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75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6C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75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B6C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6C0E" w14:paraId="5A1C9382" w14:textId="77777777" w:rsidTr="00801458">
        <w:tc>
          <w:tcPr>
            <w:tcW w:w="2336" w:type="dxa"/>
          </w:tcPr>
          <w:p w14:paraId="4C518DAB" w14:textId="77777777" w:rsidR="005D65A5" w:rsidRPr="00EB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6C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6C0E" w14:paraId="07658034" w14:textId="77777777" w:rsidTr="00801458">
        <w:tc>
          <w:tcPr>
            <w:tcW w:w="2336" w:type="dxa"/>
          </w:tcPr>
          <w:p w14:paraId="1553D698" w14:textId="78F29BFB" w:rsidR="005D65A5" w:rsidRPr="00EB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B6C0E" w14:paraId="11EAB33B" w14:textId="77777777" w:rsidTr="00801458">
        <w:tc>
          <w:tcPr>
            <w:tcW w:w="2336" w:type="dxa"/>
          </w:tcPr>
          <w:p w14:paraId="5C6EF013" w14:textId="77777777" w:rsidR="005D65A5" w:rsidRPr="00EB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FCE07F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E3D2893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B4A7156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B6C0E" w14:paraId="4D90BFFB" w14:textId="77777777" w:rsidTr="00801458">
        <w:tc>
          <w:tcPr>
            <w:tcW w:w="2336" w:type="dxa"/>
          </w:tcPr>
          <w:p w14:paraId="73EAA0BE" w14:textId="77777777" w:rsidR="005D65A5" w:rsidRPr="00EB6C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258FB7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07082B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D1254D" w14:textId="77777777" w:rsidR="005D65A5" w:rsidRPr="00EB6C0E" w:rsidRDefault="007478E0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B6C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B6C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7529"/>
      <w:r w:rsidRPr="00EB6C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6C0E" w14:paraId="5F69A700" w14:textId="77777777" w:rsidTr="005C605A">
        <w:tc>
          <w:tcPr>
            <w:tcW w:w="562" w:type="dxa"/>
          </w:tcPr>
          <w:p w14:paraId="72F9D927" w14:textId="77777777" w:rsidR="00EB6C0E" w:rsidRPr="009E6058" w:rsidRDefault="00EB6C0E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0CAD84" w14:textId="77777777" w:rsidR="00EB6C0E" w:rsidRPr="00EB6C0E" w:rsidRDefault="00EB6C0E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BC3B8D" w14:textId="77777777" w:rsidR="00EB6C0E" w:rsidRPr="00EB6C0E" w:rsidRDefault="00EB6C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B6C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7530"/>
      <w:r w:rsidRPr="00EB6C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B6C0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B6C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6C0E" w14:paraId="0267C479" w14:textId="77777777" w:rsidTr="00801458">
        <w:tc>
          <w:tcPr>
            <w:tcW w:w="2500" w:type="pct"/>
          </w:tcPr>
          <w:p w14:paraId="37F699C9" w14:textId="77777777" w:rsidR="00B8237E" w:rsidRPr="00EB6C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6C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6C0E" w14:paraId="3F240151" w14:textId="77777777" w:rsidTr="00801458">
        <w:tc>
          <w:tcPr>
            <w:tcW w:w="2500" w:type="pct"/>
          </w:tcPr>
          <w:p w14:paraId="61E91592" w14:textId="61A0874C" w:rsidR="00B8237E" w:rsidRPr="00EB6C0E" w:rsidRDefault="00B8237E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B6C0E" w:rsidRDefault="005C548A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B6C0E" w14:paraId="12D4CB4C" w14:textId="77777777" w:rsidTr="00801458">
        <w:tc>
          <w:tcPr>
            <w:tcW w:w="2500" w:type="pct"/>
          </w:tcPr>
          <w:p w14:paraId="4521E530" w14:textId="77777777" w:rsidR="00B8237E" w:rsidRPr="00EB6C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0623695" w14:textId="77777777" w:rsidR="00B8237E" w:rsidRPr="00EB6C0E" w:rsidRDefault="005C548A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B6C0E" w14:paraId="1368259F" w14:textId="77777777" w:rsidTr="00801458">
        <w:tc>
          <w:tcPr>
            <w:tcW w:w="2500" w:type="pct"/>
          </w:tcPr>
          <w:p w14:paraId="0887DBEF" w14:textId="77777777" w:rsidR="00B8237E" w:rsidRPr="00EB6C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0D1193" w14:textId="77777777" w:rsidR="00B8237E" w:rsidRPr="00EB6C0E" w:rsidRDefault="005C548A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B6C0E" w14:paraId="2C71B213" w14:textId="77777777" w:rsidTr="00801458">
        <w:tc>
          <w:tcPr>
            <w:tcW w:w="2500" w:type="pct"/>
          </w:tcPr>
          <w:p w14:paraId="1D7809D9" w14:textId="77777777" w:rsidR="00B8237E" w:rsidRPr="00EB6C0E" w:rsidRDefault="00B8237E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11E8F71" w14:textId="77777777" w:rsidR="00B8237E" w:rsidRPr="00EB6C0E" w:rsidRDefault="005C548A" w:rsidP="00801458">
            <w:pPr>
              <w:rPr>
                <w:rFonts w:ascii="Times New Roman" w:hAnsi="Times New Roman" w:cs="Times New Roman"/>
              </w:rPr>
            </w:pPr>
            <w:r w:rsidRPr="00EB6C0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EB6C0E" w:rsidRPr="00EB6C0E" w14:paraId="1C312DD9" w14:textId="77777777" w:rsidTr="00EB6C0E">
        <w:tc>
          <w:tcPr>
            <w:tcW w:w="2500" w:type="pct"/>
          </w:tcPr>
          <w:p w14:paraId="0B78C11C" w14:textId="5CA80E72" w:rsidR="00EB6C0E" w:rsidRPr="00EB6C0E" w:rsidRDefault="00EB6C0E" w:rsidP="00EB6C0E">
            <w:pPr>
              <w:rPr>
                <w:rFonts w:ascii="Times New Roman" w:hAnsi="Times New Roman" w:cs="Times New Roman"/>
              </w:rPr>
            </w:pPr>
            <w:proofErr w:type="spellStart"/>
            <w:r w:rsidRPr="00EB6C0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B6C0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3295141B" w14:textId="20304733" w:rsidR="00EB6C0E" w:rsidRPr="00EB6C0E" w:rsidRDefault="00EB6C0E" w:rsidP="005C6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EB485C6" w14:textId="6A0F7BEC" w:rsidR="00C23E7F" w:rsidRPr="00EB6C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B6C0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7531"/>
      <w:r w:rsidRPr="00EB6C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B6C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B6C0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B6C0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B6C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B6C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B6C0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B6C0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B6C0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B6C0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B6C0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B6C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B6C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B6C0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B6C0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6C0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B6C0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B6C0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B6C0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B6C0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B6C0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B6C0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B6C0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B6C0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B6C0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B6C0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B6C0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C0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B6C0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EB6C0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B6C0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B6C0E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EB6C0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6C0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EB6C0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6C0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EB6C0E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EB6C0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EB6C0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6C0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78144" w14:textId="77777777" w:rsidR="007B7557" w:rsidRDefault="007B7557" w:rsidP="00315CA6">
      <w:pPr>
        <w:spacing w:after="0" w:line="240" w:lineRule="auto"/>
      </w:pPr>
      <w:r>
        <w:separator/>
      </w:r>
    </w:p>
  </w:endnote>
  <w:endnote w:type="continuationSeparator" w:id="0">
    <w:p w14:paraId="33A4F7B5" w14:textId="77777777" w:rsidR="007B7557" w:rsidRDefault="007B75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99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65355" w14:textId="77777777" w:rsidR="007B7557" w:rsidRDefault="007B7557" w:rsidP="00315CA6">
      <w:pPr>
        <w:spacing w:after="0" w:line="240" w:lineRule="auto"/>
      </w:pPr>
      <w:r>
        <w:separator/>
      </w:r>
    </w:p>
  </w:footnote>
  <w:footnote w:type="continuationSeparator" w:id="0">
    <w:p w14:paraId="1DCDAE39" w14:textId="77777777" w:rsidR="007B7557" w:rsidRDefault="007B75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16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99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55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C0E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8%D0%BD%D1%82%D0%B5%D0%B3%D1%80%D0%B0%D1%86%D0%B8%D1%8F%20%D0%B4%D0%B5%D0%BD%D0%B5%D0%B6%D0%BD%D0%BE-%D0%BA%D1%80%D0%B5%D0%B4%D0%B8%D1%82%D0%BD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0741510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63D37E-A41B-4E37-B65A-6B5CC362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