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42.04.01 Реклама и связи с общественностью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корпоративными коммуникациями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4D4E2D">
              <w:rPr>
                <w:sz w:val="20"/>
                <w:szCs w:val="20"/>
              </w:rPr>
              <w:t>к.филол</w:t>
            </w:r>
            <w:proofErr w:type="gramEnd"/>
            <w:r w:rsidRPr="004D4E2D">
              <w:rPr>
                <w:sz w:val="20"/>
                <w:szCs w:val="20"/>
              </w:rPr>
              <w:t>.н</w:t>
            </w:r>
            <w:proofErr w:type="spellEnd"/>
            <w:r w:rsidRPr="004D4E2D">
              <w:rPr>
                <w:sz w:val="20"/>
                <w:szCs w:val="20"/>
              </w:rPr>
              <w:t>, Чибисова Елена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E6C1DF8" w:rsidR="00ED2279" w:rsidRPr="0065641B" w:rsidRDefault="004D4E2D" w:rsidP="004D4E2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9C5296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4E2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BABADC5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B40D304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D1349AC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D218D36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D8526A1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1680C1D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8EF603C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A0AE7E3" w:rsidR="00DC42AF" w:rsidRPr="0065641B" w:rsidRDefault="004D4E2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D4E2D" w14:paraId="446CCDDC" w14:textId="77777777" w:rsidTr="004D4E2D">
        <w:tc>
          <w:tcPr>
            <w:tcW w:w="851" w:type="dxa"/>
          </w:tcPr>
          <w:p w14:paraId="503E2208" w14:textId="77777777" w:rsidR="007D0C0D" w:rsidRPr="004D4E2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4E2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D4E2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4E2D">
              <w:t>Закрепление полученных теоретических знаний по специальным дисциплинам, приобретение необходимых практических умений и навыков по избранному направлению, а именно в сфере управления внешними и внутренними коммуникациями в организации, подготовка решений, направленных на совершенствование коммуникационной деятельности организации и способствующих достижению ее стратегических целей.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49A8C9AE" w14:textId="77777777" w:rsidR="004D4E2D" w:rsidRDefault="004D4E2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07AEF76" w:rsidR="00C65FCC" w:rsidRPr="004D4E2D" w:rsidRDefault="00C65FCC" w:rsidP="004D4E2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D4E2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D4E2D">
        <w:t>й</w:t>
      </w:r>
      <w:r w:rsidRPr="004D4E2D">
        <w:t xml:space="preserve"> практики</w:t>
      </w:r>
      <w:r w:rsidR="004D4E2D" w:rsidRPr="004D4E2D">
        <w:t>.</w:t>
      </w:r>
    </w:p>
    <w:p w14:paraId="275C77CB" w14:textId="77777777" w:rsidR="000F4737" w:rsidRPr="0065641B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7"/>
        <w:gridCol w:w="2153"/>
        <w:gridCol w:w="5074"/>
      </w:tblGrid>
      <w:tr w:rsidR="0065641B" w:rsidRPr="004D4E2D" w14:paraId="273DB8CE" w14:textId="77777777" w:rsidTr="004D4E2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D4E2D" w:rsidRDefault="006F0EAF" w:rsidP="004D4E2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4E2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D4E2D" w:rsidRDefault="006F0EAF" w:rsidP="004D4E2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4E2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D4E2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D4E2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D4E2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4D4E2D" w14:paraId="3BBEAA3A" w14:textId="77777777" w:rsidTr="004D4E2D">
        <w:trPr>
          <w:trHeight w:val="212"/>
        </w:trPr>
        <w:tc>
          <w:tcPr>
            <w:tcW w:w="958" w:type="pct"/>
          </w:tcPr>
          <w:p w14:paraId="05E778A0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  <w:p w14:paraId="7208F990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управления реализацией проекта для достижение поставленной цели.</w:t>
            </w:r>
          </w:p>
        </w:tc>
      </w:tr>
      <w:tr w:rsidR="00996FB3" w:rsidRPr="004D4E2D" w14:paraId="760B330B" w14:textId="77777777" w:rsidTr="004D4E2D">
        <w:trPr>
          <w:trHeight w:val="212"/>
        </w:trPr>
        <w:tc>
          <w:tcPr>
            <w:tcW w:w="958" w:type="pct"/>
          </w:tcPr>
          <w:p w14:paraId="4CB04837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1CF473D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27ECC029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4094A5EF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Проявлять лидерские качества и умения в процессе работы в команде.</w:t>
            </w:r>
          </w:p>
          <w:p w14:paraId="21AE8EC7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A830AD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0F602229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демонстрации активной и ответственной позиции в ходе управления командой исполнителей проекта.</w:t>
            </w:r>
          </w:p>
        </w:tc>
      </w:tr>
      <w:tr w:rsidR="00996FB3" w:rsidRPr="004D4E2D" w14:paraId="7B41BEB4" w14:textId="77777777" w:rsidTr="004D4E2D">
        <w:trPr>
          <w:trHeight w:val="212"/>
        </w:trPr>
        <w:tc>
          <w:tcPr>
            <w:tcW w:w="958" w:type="pct"/>
          </w:tcPr>
          <w:p w14:paraId="26B21706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929F58F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79BE2126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0E0AA379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Находить информацию о культурных особенностях и традициях различных социальных групп.</w:t>
            </w:r>
          </w:p>
          <w:p w14:paraId="492E0564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919C28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3E20614E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использования в профессиональной деятельности и личностном развитии информацию о культурных особенностях и традициях различных социальных групп.</w:t>
            </w:r>
          </w:p>
        </w:tc>
      </w:tr>
      <w:tr w:rsidR="00996FB3" w:rsidRPr="004D4E2D" w14:paraId="4FC20AD1" w14:textId="77777777" w:rsidTr="004D4E2D">
        <w:trPr>
          <w:trHeight w:val="212"/>
        </w:trPr>
        <w:tc>
          <w:tcPr>
            <w:tcW w:w="958" w:type="pct"/>
          </w:tcPr>
          <w:p w14:paraId="243E09A3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B046AA2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737BC06F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6D925EA1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Определять условия, средства, личностные возможности, временные </w:t>
            </w:r>
            <w:proofErr w:type="gramStart"/>
            <w:r w:rsidRPr="004D4E2D">
              <w:rPr>
                <w:sz w:val="22"/>
                <w:szCs w:val="22"/>
              </w:rPr>
              <w:t>перспективы  развития</w:t>
            </w:r>
            <w:proofErr w:type="gramEnd"/>
            <w:r w:rsidRPr="004D4E2D">
              <w:rPr>
                <w:sz w:val="22"/>
                <w:szCs w:val="22"/>
              </w:rPr>
              <w:t xml:space="preserve"> деятельности и требований рынка труда для реализации намеченных целей профессиональной деятельности, использовать предоставляемые возможности для приобретения новых знаний и навыков.</w:t>
            </w:r>
          </w:p>
          <w:p w14:paraId="23452D84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EFF181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23109F75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реализации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труда, навыками критической оценки эффективности использования временных и других ресурсов относительно полученного результата.</w:t>
            </w:r>
          </w:p>
        </w:tc>
      </w:tr>
      <w:tr w:rsidR="00996FB3" w:rsidRPr="004D4E2D" w14:paraId="59C8BC56" w14:textId="77777777" w:rsidTr="004D4E2D">
        <w:trPr>
          <w:trHeight w:val="212"/>
        </w:trPr>
        <w:tc>
          <w:tcPr>
            <w:tcW w:w="958" w:type="pct"/>
          </w:tcPr>
          <w:p w14:paraId="6225E06C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ПК-3 - Способен разрабатывать эффективную коммуникационную стратегию, в том числе управлять антикризисными и событийными коммуникациями компании</w:t>
            </w:r>
          </w:p>
        </w:tc>
        <w:tc>
          <w:tcPr>
            <w:tcW w:w="1031" w:type="pct"/>
          </w:tcPr>
          <w:p w14:paraId="621F69AC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ПК-3.1 - Применяет методы и инструменты для целеполагания, планирования и оценки эффективности коммуникационной стратегии, коммуникационного проекта и применяет их на практике, интегрирует коммуникации для эффективной реализации коммуникационной стратегии</w:t>
            </w:r>
          </w:p>
        </w:tc>
        <w:tc>
          <w:tcPr>
            <w:tcW w:w="3011" w:type="pct"/>
          </w:tcPr>
          <w:p w14:paraId="6A25CE8A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477162EB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Применять в организационно-управленческой деятельности методы и инструменты для целеполагания, планирования и оценки эффективности коммуникационной стратегии, управлять интеграцией коммуникаций для эффективной реализации коммуникационной стратегии.</w:t>
            </w:r>
          </w:p>
          <w:p w14:paraId="63ECA297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26772A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46B646D9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управления процессами планирования и оценки эффективности коммуникационной стратегии, коммуникационного проекта, интеграции коммуникационных инструментов для эффективной реализации коммуникационной стратегии.</w:t>
            </w:r>
          </w:p>
        </w:tc>
      </w:tr>
      <w:tr w:rsidR="00996FB3" w:rsidRPr="004D4E2D" w14:paraId="0EB4ECAC" w14:textId="77777777" w:rsidTr="004D4E2D">
        <w:trPr>
          <w:trHeight w:val="212"/>
        </w:trPr>
        <w:tc>
          <w:tcPr>
            <w:tcW w:w="958" w:type="pct"/>
          </w:tcPr>
          <w:p w14:paraId="04EE105A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ПК-4 - Способен руководить подготовкой и проведением количественных и качественных исследований</w:t>
            </w:r>
          </w:p>
        </w:tc>
        <w:tc>
          <w:tcPr>
            <w:tcW w:w="1031" w:type="pct"/>
          </w:tcPr>
          <w:p w14:paraId="3BF60FC2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ПК-4.1 - Применяет методы качественного и количественного анализа информационного поля, методы работы с открытыми данными и большими объемами информации, использует цифровые и сетевые технологии при анализе текущей ситуации и оценке эффективности коммуникационных проектов и мероприятий</w:t>
            </w:r>
          </w:p>
        </w:tc>
        <w:tc>
          <w:tcPr>
            <w:tcW w:w="3011" w:type="pct"/>
          </w:tcPr>
          <w:p w14:paraId="69C74EC1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1E2534AE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Применять в организационно-управленческой деятельности методы качественного и количественного анализа информационного поля, методы работы с открытыми данными и большими объемами информации, использовать цифровые и сетевые технологии при анализе текущей ситуации и оценке эффективности коммуникационных проектов и мероприятий.</w:t>
            </w:r>
          </w:p>
          <w:p w14:paraId="1462C6A3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6B235F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2538CA48" w14:textId="1B38F830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использования результатов качественного и количественного анализа информационного поля, результатов работы с открытыми данными и большими объемами информации, результатов анализа текущей ситуации для принятия управленческих решений в целях повышения эффективности коммуникационных проектов и мероприятий.</w:t>
            </w:r>
          </w:p>
        </w:tc>
      </w:tr>
      <w:tr w:rsidR="00996FB3" w:rsidRPr="004D4E2D" w14:paraId="36F24A22" w14:textId="77777777" w:rsidTr="004D4E2D">
        <w:trPr>
          <w:trHeight w:val="212"/>
        </w:trPr>
        <w:tc>
          <w:tcPr>
            <w:tcW w:w="958" w:type="pct"/>
          </w:tcPr>
          <w:p w14:paraId="4DE84505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ПК-5 - Способен разрабатывать и реализовывать планы, программы и другие материалы прогнозно-аналитического характера</w:t>
            </w:r>
          </w:p>
        </w:tc>
        <w:tc>
          <w:tcPr>
            <w:tcW w:w="1031" w:type="pct"/>
          </w:tcPr>
          <w:p w14:paraId="62ACB60B" w14:textId="77777777" w:rsidR="00996FB3" w:rsidRPr="004D4E2D" w:rsidRDefault="00C76457" w:rsidP="004D4E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ПК-5.2 - Использует инструменты и технологии рекламы и связей с общественностью в планировании и осуществлении коммуникационных кампаний и мероприятий; составляет графики проведения коммуникационных кампаний и мероприятий</w:t>
            </w:r>
          </w:p>
        </w:tc>
        <w:tc>
          <w:tcPr>
            <w:tcW w:w="3011" w:type="pct"/>
          </w:tcPr>
          <w:p w14:paraId="16D0AD0C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Уметь:</w:t>
            </w:r>
          </w:p>
          <w:p w14:paraId="5E8B7229" w14:textId="77777777" w:rsidR="00DC0676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Планировать коммуникационные кампании и мероприятия, определять инструменты и технологии рекламы и связей с общественностью для их эффективной реализации.</w:t>
            </w:r>
          </w:p>
          <w:p w14:paraId="26A76FB4" w14:textId="77777777" w:rsidR="00DC0676" w:rsidRPr="004D4E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7519F2" w14:textId="77777777" w:rsidR="002E5704" w:rsidRPr="004D4E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Владеть:</w:t>
            </w:r>
          </w:p>
          <w:p w14:paraId="27710C51" w14:textId="77777777" w:rsidR="00996FB3" w:rsidRPr="004D4E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Навыками разработки планов-графиков проведения коммуникационных кампаний и мероприятий.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4D4E2D" w14:paraId="65314A5A" w14:textId="77777777" w:rsidTr="004D4E2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D4E2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4E2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D4E2D" w:rsidRDefault="005D11CD" w:rsidP="004D4E2D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4E2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D4E2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4E2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D4E2D" w14:paraId="1ED871D2" w14:textId="77777777" w:rsidTr="004D4E2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D4E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D4E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4E2D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D4E2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Общие вопросы организации практики. Получение индивидуального задания.</w:t>
            </w:r>
          </w:p>
        </w:tc>
      </w:tr>
      <w:tr w:rsidR="005D11CD" w:rsidRPr="004D4E2D" w14:paraId="70CE7CDA" w14:textId="77777777" w:rsidTr="004D4E2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BD01" w14:textId="77777777" w:rsidR="005D11CD" w:rsidRPr="004D4E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8576" w14:textId="77777777" w:rsidR="005D11CD" w:rsidRPr="004D4E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4E2D">
              <w:rPr>
                <w:sz w:val="22"/>
                <w:szCs w:val="22"/>
                <w:lang w:bidi="ru-RU"/>
              </w:rPr>
              <w:t>Проектно-аналитический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DF41" w14:textId="77777777" w:rsidR="005D11CD" w:rsidRPr="004D4E2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Изучение локальных нормативно-правовых документов организации и организационно-распорядительной документации в сфере коммуникационной деятельности организации.</w:t>
            </w:r>
            <w:r w:rsidRPr="004D4E2D">
              <w:rPr>
                <w:sz w:val="22"/>
                <w:szCs w:val="22"/>
                <w:lang w:bidi="ru-RU"/>
              </w:rPr>
              <w:br/>
              <w:t>Проведение исследований: сбор, обработка данных об организации и управлении коммуникационной деятельностью организации. Исследование проблем и нахождение путей их решения. Разработка рекомендаций по управлению корпоративными коммуникациями организации.</w:t>
            </w:r>
          </w:p>
        </w:tc>
      </w:tr>
      <w:tr w:rsidR="005D11CD" w:rsidRPr="004D4E2D" w14:paraId="75BF2E89" w14:textId="77777777" w:rsidTr="004D4E2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B8E6" w14:textId="77777777" w:rsidR="005D11CD" w:rsidRPr="004D4E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1337" w14:textId="77777777" w:rsidR="005D11CD" w:rsidRPr="004D4E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4E2D">
              <w:rPr>
                <w:sz w:val="22"/>
                <w:szCs w:val="22"/>
                <w:lang w:bidi="ru-RU"/>
              </w:rPr>
              <w:t>Организационно-управленческий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FFA5" w14:textId="77777777" w:rsidR="005D11CD" w:rsidRPr="004D4E2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Апробация выработанных рекомендаций по управлению корпоративными коммуникациями организации. Реализация плана корректирующих действий, составленного по итогам проектно-аналитического этапа практики.</w:t>
            </w:r>
          </w:p>
        </w:tc>
      </w:tr>
      <w:tr w:rsidR="005D11CD" w:rsidRPr="004D4E2D" w14:paraId="545DF563" w14:textId="77777777" w:rsidTr="004D4E2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368E" w14:textId="77777777" w:rsidR="005D11CD" w:rsidRPr="004D4E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B7EE" w14:textId="77777777" w:rsidR="005D11CD" w:rsidRPr="004D4E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4E2D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1734" w14:textId="77777777" w:rsidR="005D11CD" w:rsidRPr="004D4E2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4E2D">
              <w:rPr>
                <w:sz w:val="22"/>
                <w:szCs w:val="22"/>
                <w:lang w:bidi="ru-RU"/>
              </w:rPr>
              <w:t>Подготовка отчета по практике, защита отчета и оценка результатов.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4D4E2D" w14:paraId="3464B1F7" w14:textId="77777777" w:rsidTr="004D4E2D">
        <w:tc>
          <w:tcPr>
            <w:tcW w:w="3257" w:type="pct"/>
            <w:shd w:val="clear" w:color="auto" w:fill="auto"/>
          </w:tcPr>
          <w:p w14:paraId="7E1C7DCA" w14:textId="77777777" w:rsidR="00530A60" w:rsidRPr="004D4E2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4E2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4D4E2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4E2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D4E2D" w14:paraId="4C2605EA" w14:textId="77777777" w:rsidTr="004D4E2D">
        <w:tc>
          <w:tcPr>
            <w:tcW w:w="3257" w:type="pct"/>
            <w:shd w:val="clear" w:color="auto" w:fill="auto"/>
          </w:tcPr>
          <w:p w14:paraId="160C119F" w14:textId="77777777" w:rsidR="00530A60" w:rsidRPr="004D4E2D" w:rsidRDefault="00C76457">
            <w:pPr>
              <w:rPr>
                <w:sz w:val="22"/>
                <w:szCs w:val="22"/>
              </w:rPr>
            </w:pPr>
            <w:proofErr w:type="spellStart"/>
            <w:r w:rsidRPr="004D4E2D">
              <w:rPr>
                <w:sz w:val="22"/>
                <w:szCs w:val="22"/>
              </w:rPr>
              <w:t>Жильцова</w:t>
            </w:r>
            <w:proofErr w:type="spellEnd"/>
            <w:r w:rsidRPr="004D4E2D">
              <w:rPr>
                <w:sz w:val="22"/>
                <w:szCs w:val="22"/>
              </w:rPr>
              <w:t xml:space="preserve">, О. Н.  Связи с </w:t>
            </w:r>
            <w:proofErr w:type="gramStart"/>
            <w:r w:rsidRPr="004D4E2D">
              <w:rPr>
                <w:sz w:val="22"/>
                <w:szCs w:val="22"/>
              </w:rPr>
              <w:t>общественностью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для вузов / О. Н. </w:t>
            </w:r>
            <w:proofErr w:type="spellStart"/>
            <w:r w:rsidRPr="004D4E2D">
              <w:rPr>
                <w:sz w:val="22"/>
                <w:szCs w:val="22"/>
              </w:rPr>
              <w:t>Жильцова</w:t>
            </w:r>
            <w:proofErr w:type="spellEnd"/>
            <w:r w:rsidRPr="004D4E2D">
              <w:rPr>
                <w:sz w:val="22"/>
                <w:szCs w:val="22"/>
              </w:rPr>
              <w:t xml:space="preserve">, И. М. Синяева, Д. А. Жильцов. — 2-е изд.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263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978-5-534-19117-2.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8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https://urait.ru/bcode/561025</w:t>
              </w:r>
            </w:hyperlink>
          </w:p>
        </w:tc>
      </w:tr>
      <w:tr w:rsidR="00530A60" w:rsidRPr="004D4E2D" w14:paraId="2FCB1646" w14:textId="77777777" w:rsidTr="004D4E2D">
        <w:tc>
          <w:tcPr>
            <w:tcW w:w="3257" w:type="pct"/>
            <w:shd w:val="clear" w:color="auto" w:fill="auto"/>
          </w:tcPr>
          <w:p w14:paraId="339BCC74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Связи с общественностью как социальная </w:t>
            </w:r>
            <w:proofErr w:type="gramStart"/>
            <w:r w:rsidRPr="004D4E2D">
              <w:rPr>
                <w:sz w:val="22"/>
                <w:szCs w:val="22"/>
              </w:rPr>
              <w:t>инженерия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для вузов / под редакцией В. А. </w:t>
            </w:r>
            <w:proofErr w:type="spellStart"/>
            <w:r w:rsidRPr="004D4E2D">
              <w:rPr>
                <w:sz w:val="22"/>
                <w:szCs w:val="22"/>
              </w:rPr>
              <w:t>Ачкасовой</w:t>
            </w:r>
            <w:proofErr w:type="spellEnd"/>
            <w:r w:rsidRPr="004D4E2D">
              <w:rPr>
                <w:sz w:val="22"/>
                <w:szCs w:val="22"/>
              </w:rPr>
              <w:t xml:space="preserve">, Л. В. Володиной. — 2-е изд., </w:t>
            </w:r>
            <w:proofErr w:type="spellStart"/>
            <w:r w:rsidRPr="004D4E2D">
              <w:rPr>
                <w:sz w:val="22"/>
                <w:szCs w:val="22"/>
              </w:rPr>
              <w:t>испр</w:t>
            </w:r>
            <w:proofErr w:type="spellEnd"/>
            <w:r w:rsidRPr="004D4E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351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978-5-534-08767-3.</w:t>
            </w:r>
          </w:p>
        </w:tc>
        <w:tc>
          <w:tcPr>
            <w:tcW w:w="1743" w:type="pct"/>
            <w:shd w:val="clear" w:color="auto" w:fill="auto"/>
          </w:tcPr>
          <w:p w14:paraId="7AFF50C9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9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https://urait.ru/bcode/562852</w:t>
              </w:r>
            </w:hyperlink>
          </w:p>
        </w:tc>
      </w:tr>
      <w:tr w:rsidR="00530A60" w:rsidRPr="004D4E2D" w14:paraId="2C4D2FFA" w14:textId="77777777" w:rsidTr="004D4E2D">
        <w:tc>
          <w:tcPr>
            <w:tcW w:w="3257" w:type="pct"/>
            <w:shd w:val="clear" w:color="auto" w:fill="auto"/>
          </w:tcPr>
          <w:p w14:paraId="1D223A99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gramStart"/>
            <w:r w:rsidRPr="004D4E2D">
              <w:rPr>
                <w:sz w:val="22"/>
                <w:szCs w:val="22"/>
              </w:rPr>
              <w:t>брендинг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и практикум для вузов / В. Л. Музыкант. — 2-е изд., </w:t>
            </w:r>
            <w:proofErr w:type="spellStart"/>
            <w:r w:rsidRPr="004D4E2D">
              <w:rPr>
                <w:sz w:val="22"/>
                <w:szCs w:val="22"/>
              </w:rPr>
              <w:t>испр</w:t>
            </w:r>
            <w:proofErr w:type="spellEnd"/>
            <w:r w:rsidRPr="004D4E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475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978-5-534-14309-6.</w:t>
            </w:r>
          </w:p>
        </w:tc>
        <w:tc>
          <w:tcPr>
            <w:tcW w:w="1743" w:type="pct"/>
            <w:shd w:val="clear" w:color="auto" w:fill="auto"/>
          </w:tcPr>
          <w:p w14:paraId="452EB7C7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0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https://urait.ru/bcode/561316</w:t>
              </w:r>
            </w:hyperlink>
          </w:p>
        </w:tc>
      </w:tr>
      <w:tr w:rsidR="00530A60" w:rsidRPr="004D4E2D" w14:paraId="58748731" w14:textId="77777777" w:rsidTr="004D4E2D">
        <w:tc>
          <w:tcPr>
            <w:tcW w:w="3257" w:type="pct"/>
            <w:shd w:val="clear" w:color="auto" w:fill="auto"/>
          </w:tcPr>
          <w:p w14:paraId="283645C4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Колесников, А. В.  Корпоративная </w:t>
            </w:r>
            <w:proofErr w:type="gramStart"/>
            <w:r w:rsidRPr="004D4E2D">
              <w:rPr>
                <w:sz w:val="22"/>
                <w:szCs w:val="22"/>
              </w:rPr>
              <w:t>культура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и практикум для вузов / А. В. Колесников.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167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978-5-534-02520-0.</w:t>
            </w:r>
          </w:p>
        </w:tc>
        <w:tc>
          <w:tcPr>
            <w:tcW w:w="1743" w:type="pct"/>
            <w:shd w:val="clear" w:color="auto" w:fill="auto"/>
          </w:tcPr>
          <w:p w14:paraId="451F2FAB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1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https://urait.ru/bcode/561198</w:t>
              </w:r>
            </w:hyperlink>
          </w:p>
        </w:tc>
      </w:tr>
      <w:tr w:rsidR="00530A60" w:rsidRPr="004D4E2D" w14:paraId="57620CCA" w14:textId="77777777" w:rsidTr="004D4E2D">
        <w:tc>
          <w:tcPr>
            <w:tcW w:w="3257" w:type="pct"/>
            <w:shd w:val="clear" w:color="auto" w:fill="auto"/>
          </w:tcPr>
          <w:p w14:paraId="09733500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Бударина, О. А.  Организация работы структур по связям с </w:t>
            </w:r>
            <w:proofErr w:type="gramStart"/>
            <w:r w:rsidRPr="004D4E2D">
              <w:rPr>
                <w:sz w:val="22"/>
                <w:szCs w:val="22"/>
              </w:rPr>
              <w:t>общественностью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для вузов / О. А. Бударина.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126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978-5-534-14076-7.</w:t>
            </w:r>
          </w:p>
        </w:tc>
        <w:tc>
          <w:tcPr>
            <w:tcW w:w="1743" w:type="pct"/>
            <w:shd w:val="clear" w:color="auto" w:fill="auto"/>
          </w:tcPr>
          <w:p w14:paraId="23C4FE71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2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https://urait.ru/bcode/567755</w:t>
              </w:r>
            </w:hyperlink>
          </w:p>
        </w:tc>
      </w:tr>
      <w:tr w:rsidR="00530A60" w:rsidRPr="004D4E2D" w14:paraId="404CE060" w14:textId="77777777" w:rsidTr="004D4E2D">
        <w:tc>
          <w:tcPr>
            <w:tcW w:w="3257" w:type="pct"/>
            <w:shd w:val="clear" w:color="auto" w:fill="auto"/>
          </w:tcPr>
          <w:p w14:paraId="6791961E" w14:textId="77777777" w:rsidR="00530A60" w:rsidRPr="004D4E2D" w:rsidRDefault="00C76457">
            <w:pPr>
              <w:rPr>
                <w:sz w:val="22"/>
                <w:szCs w:val="22"/>
              </w:rPr>
            </w:pPr>
            <w:proofErr w:type="spellStart"/>
            <w:r w:rsidRPr="004D4E2D">
              <w:rPr>
                <w:sz w:val="22"/>
                <w:szCs w:val="22"/>
              </w:rPr>
              <w:t>Малькевич</w:t>
            </w:r>
            <w:proofErr w:type="spellEnd"/>
            <w:r w:rsidRPr="004D4E2D">
              <w:rPr>
                <w:sz w:val="22"/>
                <w:szCs w:val="22"/>
              </w:rPr>
              <w:t xml:space="preserve">, А. А.  Организация и проведение кампаний в сфере связей с </w:t>
            </w:r>
            <w:proofErr w:type="gramStart"/>
            <w:r w:rsidRPr="004D4E2D">
              <w:rPr>
                <w:sz w:val="22"/>
                <w:szCs w:val="22"/>
              </w:rPr>
              <w:t>общественностью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для вузов / А. А. </w:t>
            </w:r>
            <w:proofErr w:type="spellStart"/>
            <w:r w:rsidRPr="004D4E2D">
              <w:rPr>
                <w:sz w:val="22"/>
                <w:szCs w:val="22"/>
              </w:rPr>
              <w:t>Малькевич</w:t>
            </w:r>
            <w:proofErr w:type="spellEnd"/>
            <w:r w:rsidRPr="004D4E2D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4D4E2D">
              <w:rPr>
                <w:sz w:val="22"/>
                <w:szCs w:val="22"/>
              </w:rPr>
              <w:t>перераб</w:t>
            </w:r>
            <w:proofErr w:type="spellEnd"/>
            <w:r w:rsidRPr="004D4E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127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978-5-534-17564-6.</w:t>
            </w:r>
          </w:p>
        </w:tc>
        <w:tc>
          <w:tcPr>
            <w:tcW w:w="1743" w:type="pct"/>
            <w:shd w:val="clear" w:color="auto" w:fill="auto"/>
          </w:tcPr>
          <w:p w14:paraId="5738FCF3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3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https://urait.ru/bcode/563888</w:t>
              </w:r>
            </w:hyperlink>
          </w:p>
        </w:tc>
      </w:tr>
      <w:tr w:rsidR="00530A60" w:rsidRPr="004D4E2D" w14:paraId="56AEB82F" w14:textId="77777777" w:rsidTr="004D4E2D">
        <w:tc>
          <w:tcPr>
            <w:tcW w:w="3257" w:type="pct"/>
            <w:shd w:val="clear" w:color="auto" w:fill="auto"/>
          </w:tcPr>
          <w:p w14:paraId="6048A481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 xml:space="preserve">Карасев, А. П.  Маркетинговые исследования и ситуационный </w:t>
            </w:r>
            <w:proofErr w:type="gramStart"/>
            <w:r w:rsidRPr="004D4E2D">
              <w:rPr>
                <w:sz w:val="22"/>
                <w:szCs w:val="22"/>
              </w:rPr>
              <w:t>анализ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и практикум для вузов / А. П. Карасев. — 3-е изд., </w:t>
            </w:r>
            <w:proofErr w:type="spellStart"/>
            <w:r w:rsidRPr="004D4E2D">
              <w:rPr>
                <w:sz w:val="22"/>
                <w:szCs w:val="22"/>
              </w:rPr>
              <w:t>перераб</w:t>
            </w:r>
            <w:proofErr w:type="spellEnd"/>
            <w:r w:rsidRPr="004D4E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286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978-5-534-21301-0.</w:t>
            </w:r>
          </w:p>
        </w:tc>
        <w:tc>
          <w:tcPr>
            <w:tcW w:w="1743" w:type="pct"/>
            <w:shd w:val="clear" w:color="auto" w:fill="auto"/>
          </w:tcPr>
          <w:p w14:paraId="5DDBDCB3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4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https://urait.ru/bcode/569590</w:t>
              </w:r>
            </w:hyperlink>
          </w:p>
        </w:tc>
      </w:tr>
      <w:tr w:rsidR="00530A60" w:rsidRPr="004D4E2D" w14:paraId="38989CB1" w14:textId="77777777" w:rsidTr="004D4E2D">
        <w:tc>
          <w:tcPr>
            <w:tcW w:w="3257" w:type="pct"/>
            <w:shd w:val="clear" w:color="auto" w:fill="auto"/>
          </w:tcPr>
          <w:p w14:paraId="07DCD844" w14:textId="77777777" w:rsidR="00530A60" w:rsidRPr="004D4E2D" w:rsidRDefault="00C76457">
            <w:pPr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  <w:lang w:val="en-US"/>
              </w:rPr>
              <w:t>GR</w:t>
            </w:r>
            <w:r w:rsidRPr="004D4E2D">
              <w:rPr>
                <w:sz w:val="22"/>
                <w:szCs w:val="22"/>
              </w:rPr>
              <w:t xml:space="preserve"> и лоббизм: теория и </w:t>
            </w:r>
            <w:proofErr w:type="gramStart"/>
            <w:r w:rsidRPr="004D4E2D">
              <w:rPr>
                <w:sz w:val="22"/>
                <w:szCs w:val="22"/>
              </w:rPr>
              <w:t>технологии :</w:t>
            </w:r>
            <w:proofErr w:type="gramEnd"/>
            <w:r w:rsidRPr="004D4E2D">
              <w:rPr>
                <w:sz w:val="22"/>
                <w:szCs w:val="22"/>
              </w:rPr>
              <w:t xml:space="preserve"> учебник для вузов / под редакцией В. А. </w:t>
            </w:r>
            <w:proofErr w:type="spellStart"/>
            <w:r w:rsidRPr="004D4E2D">
              <w:rPr>
                <w:sz w:val="22"/>
                <w:szCs w:val="22"/>
              </w:rPr>
              <w:t>Ачкасовой</w:t>
            </w:r>
            <w:proofErr w:type="spellEnd"/>
            <w:r w:rsidRPr="004D4E2D">
              <w:rPr>
                <w:sz w:val="22"/>
                <w:szCs w:val="22"/>
              </w:rPr>
              <w:t xml:space="preserve">, И. Е. </w:t>
            </w:r>
            <w:proofErr w:type="spellStart"/>
            <w:r w:rsidRPr="004D4E2D">
              <w:rPr>
                <w:sz w:val="22"/>
                <w:szCs w:val="22"/>
              </w:rPr>
              <w:t>Минтусова</w:t>
            </w:r>
            <w:proofErr w:type="spellEnd"/>
            <w:r w:rsidRPr="004D4E2D">
              <w:rPr>
                <w:sz w:val="22"/>
                <w:szCs w:val="22"/>
              </w:rPr>
              <w:t xml:space="preserve">, О. Г. Филатовой. — 2-е изд. — </w:t>
            </w:r>
            <w:proofErr w:type="gramStart"/>
            <w:r w:rsidRPr="004D4E2D">
              <w:rPr>
                <w:sz w:val="22"/>
                <w:szCs w:val="22"/>
              </w:rPr>
              <w:t>Москва :</w:t>
            </w:r>
            <w:proofErr w:type="gramEnd"/>
            <w:r w:rsidRPr="004D4E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D4E2D">
              <w:rPr>
                <w:sz w:val="22"/>
                <w:szCs w:val="22"/>
              </w:rPr>
              <w:t>Юрайт</w:t>
            </w:r>
            <w:proofErr w:type="spellEnd"/>
            <w:r w:rsidRPr="004D4E2D">
              <w:rPr>
                <w:sz w:val="22"/>
                <w:szCs w:val="22"/>
              </w:rPr>
              <w:t xml:space="preserve">, 2025. — 438 с. — (Высшее образование). — </w:t>
            </w:r>
            <w:r w:rsidRPr="004D4E2D">
              <w:rPr>
                <w:sz w:val="22"/>
                <w:szCs w:val="22"/>
                <w:lang w:val="en-US"/>
              </w:rPr>
              <w:t>ISBN</w:t>
            </w:r>
            <w:r w:rsidRPr="004D4E2D">
              <w:rPr>
                <w:sz w:val="22"/>
                <w:szCs w:val="22"/>
              </w:rPr>
              <w:t xml:space="preserve"> 978-5-534-14000-2.</w:t>
            </w:r>
          </w:p>
        </w:tc>
        <w:tc>
          <w:tcPr>
            <w:tcW w:w="1743" w:type="pct"/>
            <w:shd w:val="clear" w:color="auto" w:fill="auto"/>
          </w:tcPr>
          <w:p w14:paraId="3E615F7A" w14:textId="77777777" w:rsidR="00530A60" w:rsidRPr="004D4E2D" w:rsidRDefault="004D4E2D">
            <w:pPr>
              <w:rPr>
                <w:sz w:val="22"/>
                <w:szCs w:val="22"/>
              </w:rPr>
            </w:pPr>
            <w:hyperlink r:id="rId15" w:history="1">
              <w:r w:rsidR="00C76457" w:rsidRPr="004D4E2D">
                <w:rPr>
                  <w:color w:val="00008B"/>
                  <w:sz w:val="22"/>
                  <w:szCs w:val="22"/>
                  <w:u w:val="single"/>
                </w:rPr>
                <w:t>https://urait.ru/bcode/560059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11FC16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C016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40793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4C167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83533" w:rsidRPr="0065641B" w14:paraId="5F10A7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B16F8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Figma</w:t>
            </w:r>
          </w:p>
        </w:tc>
      </w:tr>
      <w:tr w:rsidR="00783533" w:rsidRPr="0065641B" w14:paraId="72A4CC0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020C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Galileo</w:t>
            </w:r>
          </w:p>
        </w:tc>
      </w:tr>
      <w:tr w:rsidR="00783533" w:rsidRPr="0065641B" w14:paraId="09B2AA0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350FF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3A97AF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31E8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EBF527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DEF0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D4E2D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D4E2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4D4E2D">
        <w:tc>
          <w:tcPr>
            <w:tcW w:w="6091" w:type="dxa"/>
            <w:shd w:val="clear" w:color="auto" w:fill="auto"/>
          </w:tcPr>
          <w:p w14:paraId="37B261DC" w14:textId="77777777" w:rsidR="00EE504A" w:rsidRPr="004D4E2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4E2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D4E2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4E2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D4E2D">
        <w:tc>
          <w:tcPr>
            <w:tcW w:w="6091" w:type="dxa"/>
            <w:shd w:val="clear" w:color="auto" w:fill="auto"/>
          </w:tcPr>
          <w:p w14:paraId="74D60044" w14:textId="626D83FA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</w:rPr>
              <w:t xml:space="preserve">Специализированная  мебель и оборудование: 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4D4E2D">
              <w:rPr>
                <w:sz w:val="22"/>
                <w:szCs w:val="22"/>
                <w:lang w:val="en-US"/>
              </w:rPr>
              <w:t>AIO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IRU</w:t>
            </w:r>
            <w:r w:rsidRPr="004D4E2D">
              <w:rPr>
                <w:sz w:val="22"/>
                <w:szCs w:val="22"/>
              </w:rPr>
              <w:t xml:space="preserve"> 308 </w:t>
            </w:r>
            <w:r w:rsidRPr="004D4E2D">
              <w:rPr>
                <w:sz w:val="22"/>
                <w:szCs w:val="22"/>
                <w:lang w:val="en-US"/>
              </w:rPr>
              <w:t>intel</w:t>
            </w:r>
            <w:r w:rsidRPr="004D4E2D">
              <w:rPr>
                <w:sz w:val="22"/>
                <w:szCs w:val="22"/>
              </w:rPr>
              <w:t xml:space="preserve"> 2.8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4E2D">
              <w:rPr>
                <w:sz w:val="22"/>
                <w:szCs w:val="22"/>
              </w:rPr>
              <w:t xml:space="preserve">/4 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/1</w:t>
            </w:r>
            <w:r w:rsidRPr="004D4E2D">
              <w:rPr>
                <w:sz w:val="22"/>
                <w:szCs w:val="22"/>
                <w:lang w:val="en-US"/>
              </w:rPr>
              <w:t>Tb</w:t>
            </w:r>
            <w:r w:rsidRPr="004D4E2D">
              <w:rPr>
                <w:sz w:val="22"/>
                <w:szCs w:val="22"/>
              </w:rPr>
              <w:t xml:space="preserve"> - 16 шт., Компьютер </w:t>
            </w:r>
            <w:r w:rsidRPr="004D4E2D">
              <w:rPr>
                <w:sz w:val="22"/>
                <w:szCs w:val="22"/>
                <w:lang w:val="en-US"/>
              </w:rPr>
              <w:t>Intel</w:t>
            </w:r>
            <w:r w:rsidRPr="004D4E2D">
              <w:rPr>
                <w:sz w:val="22"/>
                <w:szCs w:val="22"/>
              </w:rPr>
              <w:t xml:space="preserve">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E2D">
              <w:rPr>
                <w:sz w:val="22"/>
                <w:szCs w:val="22"/>
              </w:rPr>
              <w:t xml:space="preserve">3-2100 2.4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4E2D">
              <w:rPr>
                <w:sz w:val="22"/>
                <w:szCs w:val="22"/>
              </w:rPr>
              <w:t>/4 4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/500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</w:t>
            </w:r>
            <w:r w:rsidRPr="004D4E2D">
              <w:rPr>
                <w:sz w:val="22"/>
                <w:szCs w:val="22"/>
                <w:lang w:val="en-US"/>
              </w:rPr>
              <w:t>Acer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V</w:t>
            </w:r>
            <w:r w:rsidRPr="004D4E2D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x</w:t>
            </w:r>
            <w:r w:rsidRPr="004D4E2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Champion</w:t>
            </w:r>
            <w:r w:rsidRPr="004D4E2D">
              <w:rPr>
                <w:sz w:val="22"/>
                <w:szCs w:val="22"/>
              </w:rPr>
              <w:t xml:space="preserve"> 203х153см (</w:t>
            </w:r>
            <w:r w:rsidRPr="004D4E2D">
              <w:rPr>
                <w:sz w:val="22"/>
                <w:szCs w:val="22"/>
                <w:lang w:val="en-US"/>
              </w:rPr>
              <w:t>SCM</w:t>
            </w:r>
            <w:r w:rsidRPr="004D4E2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5CD0C775" w14:textId="77777777" w:rsidTr="004D4E2D">
        <w:tc>
          <w:tcPr>
            <w:tcW w:w="6091" w:type="dxa"/>
            <w:shd w:val="clear" w:color="auto" w:fill="auto"/>
          </w:tcPr>
          <w:p w14:paraId="4CCBD289" w14:textId="1E6D07A8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4D4E2D">
              <w:rPr>
                <w:sz w:val="22"/>
                <w:szCs w:val="22"/>
                <w:lang w:val="en-US"/>
              </w:rPr>
              <w:t>Intel</w:t>
            </w:r>
            <w:r w:rsidRPr="004D4E2D">
              <w:rPr>
                <w:sz w:val="22"/>
                <w:szCs w:val="22"/>
              </w:rPr>
              <w:t xml:space="preserve">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E2D">
              <w:rPr>
                <w:sz w:val="22"/>
                <w:szCs w:val="22"/>
              </w:rPr>
              <w:t xml:space="preserve">3-2100 2.4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4E2D">
              <w:rPr>
                <w:sz w:val="22"/>
                <w:szCs w:val="22"/>
              </w:rPr>
              <w:t>/4 4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/500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</w:t>
            </w:r>
            <w:r w:rsidRPr="004D4E2D">
              <w:rPr>
                <w:sz w:val="22"/>
                <w:szCs w:val="22"/>
                <w:lang w:val="en-US"/>
              </w:rPr>
              <w:t>Acer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V</w:t>
            </w:r>
            <w:r w:rsidRPr="004D4E2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D4E2D">
              <w:rPr>
                <w:sz w:val="22"/>
                <w:szCs w:val="22"/>
                <w:lang w:val="en-US"/>
              </w:rPr>
              <w:t>NEC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ME</w:t>
            </w:r>
            <w:r w:rsidRPr="004D4E2D">
              <w:rPr>
                <w:sz w:val="22"/>
                <w:szCs w:val="22"/>
              </w:rPr>
              <w:t>401</w:t>
            </w:r>
            <w:r w:rsidRPr="004D4E2D">
              <w:rPr>
                <w:sz w:val="22"/>
                <w:szCs w:val="22"/>
                <w:lang w:val="en-US"/>
              </w:rPr>
              <w:t>X</w:t>
            </w:r>
            <w:r w:rsidRPr="004D4E2D">
              <w:rPr>
                <w:sz w:val="22"/>
                <w:szCs w:val="22"/>
              </w:rPr>
              <w:t xml:space="preserve"> - 1 шт., Акустическая система </w:t>
            </w:r>
            <w:r w:rsidRPr="004D4E2D">
              <w:rPr>
                <w:sz w:val="22"/>
                <w:szCs w:val="22"/>
                <w:lang w:val="en-US"/>
              </w:rPr>
              <w:t>Hi</w:t>
            </w:r>
            <w:r w:rsidRPr="004D4E2D">
              <w:rPr>
                <w:sz w:val="22"/>
                <w:szCs w:val="22"/>
              </w:rPr>
              <w:t>-</w:t>
            </w:r>
            <w:r w:rsidRPr="004D4E2D">
              <w:rPr>
                <w:sz w:val="22"/>
                <w:szCs w:val="22"/>
                <w:lang w:val="en-US"/>
              </w:rPr>
              <w:t>Fi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PRO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MASK</w:t>
            </w:r>
            <w:r w:rsidRPr="004D4E2D">
              <w:rPr>
                <w:sz w:val="22"/>
                <w:szCs w:val="22"/>
              </w:rPr>
              <w:t>6</w:t>
            </w:r>
            <w:r w:rsidRPr="004D4E2D">
              <w:rPr>
                <w:sz w:val="22"/>
                <w:szCs w:val="22"/>
                <w:lang w:val="en-US"/>
              </w:rPr>
              <w:t>T</w:t>
            </w:r>
            <w:r w:rsidRPr="004D4E2D">
              <w:rPr>
                <w:sz w:val="22"/>
                <w:szCs w:val="22"/>
              </w:rPr>
              <w:t>-</w:t>
            </w:r>
            <w:r w:rsidRPr="004D4E2D">
              <w:rPr>
                <w:sz w:val="22"/>
                <w:szCs w:val="22"/>
                <w:lang w:val="en-US"/>
              </w:rPr>
              <w:t>W</w:t>
            </w:r>
            <w:r w:rsidRPr="004D4E2D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E2D">
              <w:rPr>
                <w:sz w:val="22"/>
                <w:szCs w:val="22"/>
              </w:rPr>
              <w:t xml:space="preserve">  </w:t>
            </w:r>
            <w:r w:rsidRPr="004D4E2D">
              <w:rPr>
                <w:sz w:val="22"/>
                <w:szCs w:val="22"/>
                <w:lang w:val="en-US"/>
              </w:rPr>
              <w:t>TA</w:t>
            </w:r>
            <w:r w:rsidRPr="004D4E2D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Compact</w:t>
            </w:r>
            <w:r w:rsidRPr="004D4E2D">
              <w:rPr>
                <w:sz w:val="22"/>
                <w:szCs w:val="22"/>
              </w:rPr>
              <w:t xml:space="preserve">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D4E2D">
              <w:rPr>
                <w:sz w:val="22"/>
                <w:szCs w:val="22"/>
              </w:rPr>
              <w:t xml:space="preserve"> 153</w:t>
            </w:r>
            <w:r w:rsidRPr="004D4E2D">
              <w:rPr>
                <w:sz w:val="22"/>
                <w:szCs w:val="22"/>
                <w:lang w:val="en-US"/>
              </w:rPr>
              <w:t>x</w:t>
            </w:r>
            <w:r w:rsidRPr="004D4E2D">
              <w:rPr>
                <w:sz w:val="22"/>
                <w:szCs w:val="22"/>
              </w:rPr>
              <w:t xml:space="preserve">200 </w:t>
            </w:r>
            <w:r w:rsidRPr="004D4E2D">
              <w:rPr>
                <w:sz w:val="22"/>
                <w:szCs w:val="22"/>
                <w:lang w:val="en-US"/>
              </w:rPr>
              <w:t>c</w:t>
            </w:r>
            <w:r w:rsidRPr="004D4E2D">
              <w:rPr>
                <w:sz w:val="22"/>
                <w:szCs w:val="22"/>
              </w:rPr>
              <w:t xml:space="preserve">м </w:t>
            </w:r>
            <w:r w:rsidRPr="004D4E2D">
              <w:rPr>
                <w:sz w:val="22"/>
                <w:szCs w:val="22"/>
                <w:lang w:val="en-US"/>
              </w:rPr>
              <w:t>M</w:t>
            </w:r>
            <w:r w:rsidRPr="004D4E2D">
              <w:rPr>
                <w:sz w:val="22"/>
                <w:szCs w:val="22"/>
              </w:rPr>
              <w:t>а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4D4E2D">
              <w:rPr>
                <w:sz w:val="22"/>
                <w:szCs w:val="22"/>
              </w:rPr>
              <w:t xml:space="preserve">е </w:t>
            </w:r>
            <w:r w:rsidRPr="004D4E2D">
              <w:rPr>
                <w:sz w:val="22"/>
                <w:szCs w:val="22"/>
                <w:lang w:val="en-US"/>
              </w:rPr>
              <w:t>White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S</w:t>
            </w:r>
            <w:r w:rsidRPr="004D4E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2589ECC" w14:textId="77777777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6BD450F5" w14:textId="77777777" w:rsidTr="004D4E2D">
        <w:tc>
          <w:tcPr>
            <w:tcW w:w="6091" w:type="dxa"/>
            <w:shd w:val="clear" w:color="auto" w:fill="auto"/>
          </w:tcPr>
          <w:p w14:paraId="5080BB0E" w14:textId="57CB78D8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</w:rPr>
              <w:t xml:space="preserve">Специализированная  мебель и оборудование: Учебная мебель на 70 посадочных места (35 учебных столов, 70 стульев), рабочее место преподавателя, стол 1шт., кафедра 1шт., доска меловая (3-х секционная) 1 шт., вешалка стойка 4шт., жалюзи 6шт.Компьютер </w:t>
            </w:r>
            <w:r w:rsidRPr="004D4E2D">
              <w:rPr>
                <w:sz w:val="22"/>
                <w:szCs w:val="22"/>
                <w:lang w:val="en-US"/>
              </w:rPr>
              <w:t>Intel</w:t>
            </w:r>
            <w:r w:rsidRPr="004D4E2D">
              <w:rPr>
                <w:sz w:val="22"/>
                <w:szCs w:val="22"/>
              </w:rPr>
              <w:t xml:space="preserve">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E2D">
              <w:rPr>
                <w:sz w:val="22"/>
                <w:szCs w:val="22"/>
              </w:rPr>
              <w:t xml:space="preserve">3-2100 2.4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4E2D">
              <w:rPr>
                <w:sz w:val="22"/>
                <w:szCs w:val="22"/>
              </w:rPr>
              <w:t>/4 4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/500</w:t>
            </w:r>
            <w:r w:rsidRPr="004D4E2D">
              <w:rPr>
                <w:sz w:val="22"/>
                <w:szCs w:val="22"/>
                <w:lang w:val="en-US"/>
              </w:rPr>
              <w:t>Gb</w:t>
            </w:r>
            <w:r w:rsidRPr="004D4E2D">
              <w:rPr>
                <w:sz w:val="22"/>
                <w:szCs w:val="22"/>
              </w:rPr>
              <w:t>/</w:t>
            </w:r>
            <w:r w:rsidRPr="004D4E2D">
              <w:rPr>
                <w:sz w:val="22"/>
                <w:szCs w:val="22"/>
                <w:lang w:val="en-US"/>
              </w:rPr>
              <w:t>Acer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V</w:t>
            </w:r>
            <w:r w:rsidRPr="004D4E2D">
              <w:rPr>
                <w:sz w:val="22"/>
                <w:szCs w:val="22"/>
              </w:rPr>
              <w:t xml:space="preserve">193 19") - 1 шт., Проектор </w:t>
            </w:r>
            <w:r w:rsidRPr="004D4E2D">
              <w:rPr>
                <w:sz w:val="22"/>
                <w:szCs w:val="22"/>
                <w:lang w:val="en-US"/>
              </w:rPr>
              <w:t>NEC</w:t>
            </w:r>
            <w:r w:rsidRPr="004D4E2D">
              <w:rPr>
                <w:sz w:val="22"/>
                <w:szCs w:val="22"/>
              </w:rPr>
              <w:t xml:space="preserve"> М350 Х  - 1 шт., Экран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Lumien</w:t>
            </w:r>
            <w:proofErr w:type="spellEnd"/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Master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Picture</w:t>
            </w:r>
            <w:r w:rsidRPr="004D4E2D">
              <w:rPr>
                <w:sz w:val="22"/>
                <w:szCs w:val="22"/>
              </w:rPr>
              <w:t xml:space="preserve"> (</w:t>
            </w:r>
            <w:r w:rsidRPr="004D4E2D">
              <w:rPr>
                <w:sz w:val="22"/>
                <w:szCs w:val="22"/>
                <w:lang w:val="en-US"/>
              </w:rPr>
              <w:t>LMP</w:t>
            </w:r>
            <w:r w:rsidRPr="004D4E2D">
              <w:rPr>
                <w:sz w:val="22"/>
                <w:szCs w:val="22"/>
              </w:rPr>
              <w:t xml:space="preserve">-100109) - 1 шт., Акустическая система </w:t>
            </w:r>
            <w:r w:rsidRPr="004D4E2D">
              <w:rPr>
                <w:sz w:val="22"/>
                <w:szCs w:val="22"/>
                <w:lang w:val="en-US"/>
              </w:rPr>
              <w:t>Apart</w:t>
            </w:r>
            <w:r w:rsidRPr="004D4E2D">
              <w:rPr>
                <w:sz w:val="22"/>
                <w:szCs w:val="22"/>
              </w:rPr>
              <w:t xml:space="preserve"> </w:t>
            </w:r>
            <w:r w:rsidRPr="004D4E2D">
              <w:rPr>
                <w:sz w:val="22"/>
                <w:szCs w:val="22"/>
                <w:lang w:val="en-US"/>
              </w:rPr>
              <w:t>MASK</w:t>
            </w:r>
            <w:r w:rsidRPr="004D4E2D">
              <w:rPr>
                <w:sz w:val="22"/>
                <w:szCs w:val="22"/>
              </w:rPr>
              <w:t xml:space="preserve">-6 </w:t>
            </w:r>
            <w:r w:rsidRPr="004D4E2D">
              <w:rPr>
                <w:sz w:val="22"/>
                <w:szCs w:val="22"/>
                <w:lang w:val="en-US"/>
              </w:rPr>
              <w:t>White</w:t>
            </w:r>
            <w:r w:rsidRPr="004D4E2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4D4E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E2D">
              <w:rPr>
                <w:sz w:val="22"/>
                <w:szCs w:val="22"/>
              </w:rPr>
              <w:t xml:space="preserve"> (</w:t>
            </w:r>
            <w:r w:rsidRPr="004D4E2D">
              <w:rPr>
                <w:sz w:val="22"/>
                <w:szCs w:val="22"/>
                <w:lang w:val="en-US"/>
              </w:rPr>
              <w:t>JDM</w:t>
            </w:r>
            <w:r w:rsidRPr="004D4E2D">
              <w:rPr>
                <w:sz w:val="22"/>
                <w:szCs w:val="22"/>
              </w:rPr>
              <w:t xml:space="preserve">) </w:t>
            </w:r>
            <w:r w:rsidRPr="004D4E2D">
              <w:rPr>
                <w:sz w:val="22"/>
                <w:szCs w:val="22"/>
                <w:lang w:val="en-US"/>
              </w:rPr>
              <w:t>TA</w:t>
            </w:r>
            <w:r w:rsidRPr="004D4E2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594E2F9" w14:textId="77777777" w:rsidR="00EE504A" w:rsidRPr="004D4E2D" w:rsidRDefault="00783533" w:rsidP="00BA48A8">
            <w:pPr>
              <w:jc w:val="both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3E7D4E1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1. Изучить локальные нормативно-правовые документы и организационно-распорядительную документации структурного подразделения по управлению коммуникациями организации.</w:t>
            </w:r>
          </w:p>
        </w:tc>
      </w:tr>
      <w:tr w:rsidR="00710478" w14:paraId="731A3024" w14:textId="77777777" w:rsidTr="003F74F8">
        <w:tc>
          <w:tcPr>
            <w:tcW w:w="9356" w:type="dxa"/>
          </w:tcPr>
          <w:p w14:paraId="4B32B36D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2. Изучить историю возникновения компании и ее организационно-правовую форму в свете действующих законодательных актов и нормативных документов, место, занимаемой компанией на существующем рынке товаров и услуг.</w:t>
            </w:r>
          </w:p>
        </w:tc>
      </w:tr>
      <w:tr w:rsidR="00710478" w14:paraId="2E0F3C26" w14:textId="77777777" w:rsidTr="003F74F8">
        <w:tc>
          <w:tcPr>
            <w:tcW w:w="9356" w:type="dxa"/>
          </w:tcPr>
          <w:p w14:paraId="4EB5C339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3. Изучить структуры аппарата управления компанией, производственную структуру. Изучить и оценить организационную структуру службы по коммуникациям (рекламе и связям с общественностью), её функции и задачи.</w:t>
            </w:r>
          </w:p>
        </w:tc>
      </w:tr>
      <w:tr w:rsidR="00710478" w14:paraId="5A67F8EB" w14:textId="77777777" w:rsidTr="003F74F8">
        <w:tc>
          <w:tcPr>
            <w:tcW w:w="9356" w:type="dxa"/>
          </w:tcPr>
          <w:p w14:paraId="19833A80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4. Дать характеристику организации корпоративных коммуникаций компании.</w:t>
            </w:r>
          </w:p>
        </w:tc>
      </w:tr>
      <w:tr w:rsidR="00710478" w14:paraId="683FFAF2" w14:textId="77777777" w:rsidTr="003F74F8">
        <w:tc>
          <w:tcPr>
            <w:tcW w:w="9356" w:type="dxa"/>
          </w:tcPr>
          <w:p w14:paraId="61C546F4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5. Изучить деятельность и дать оценку роли службы по коммуникациям на основе экспертного опроса (сотрудников предприятия).</w:t>
            </w:r>
          </w:p>
        </w:tc>
      </w:tr>
      <w:tr w:rsidR="00710478" w14:paraId="64139A27" w14:textId="77777777" w:rsidTr="003F74F8">
        <w:tc>
          <w:tcPr>
            <w:tcW w:w="9356" w:type="dxa"/>
          </w:tcPr>
          <w:p w14:paraId="798AFCDD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6. Провести опрос экспертов (руководство, инвесторы, партнеры, клиенты) об эффективности коммуникационной политики предприятия.</w:t>
            </w:r>
          </w:p>
        </w:tc>
      </w:tr>
      <w:tr w:rsidR="00710478" w14:paraId="2A7365BA" w14:textId="77777777" w:rsidTr="003F74F8">
        <w:tc>
          <w:tcPr>
            <w:tcW w:w="9356" w:type="dxa"/>
          </w:tcPr>
          <w:p w14:paraId="5F0DAB59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7. Сформулировать рекомендации по оптимизации структуры и функционала службы по коммуникациям для данного предприятия. Разработать рекомендации по оптимизации внешних и внутренних коммуникаций организации на основе проведенных исследований.</w:t>
            </w:r>
          </w:p>
        </w:tc>
      </w:tr>
      <w:tr w:rsidR="00710478" w14:paraId="626FB382" w14:textId="77777777" w:rsidTr="003F74F8">
        <w:tc>
          <w:tcPr>
            <w:tcW w:w="9356" w:type="dxa"/>
          </w:tcPr>
          <w:p w14:paraId="281255BB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8. Составить отчет о прохождении производственной практики.</w:t>
            </w:r>
          </w:p>
        </w:tc>
      </w:tr>
      <w:tr w:rsidR="00710478" w14:paraId="13EFDFB1" w14:textId="77777777" w:rsidTr="003F74F8">
        <w:tc>
          <w:tcPr>
            <w:tcW w:w="9356" w:type="dxa"/>
          </w:tcPr>
          <w:p w14:paraId="7246747D" w14:textId="77777777" w:rsidR="00710478" w:rsidRPr="004D4E2D" w:rsidRDefault="00710478" w:rsidP="00971463">
            <w:pPr>
              <w:rPr>
                <w:rFonts w:eastAsia="Calibri"/>
              </w:rPr>
            </w:pPr>
            <w:r w:rsidRPr="004D4E2D">
              <w:rPr>
                <w:rFonts w:eastAsia="Calibri"/>
              </w:rPr>
              <w:t>9. В случае выполнения в рамках практики образовательного проекта, индивидуальные задания формулируются исходя из заявки работодателя на выполнение конкретного проекта.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D4E2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D4E2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4E2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D4E2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4E2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D4E2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D4E2D" w:rsidRDefault="006E5421" w:rsidP="0035746E">
            <w:pPr>
              <w:jc w:val="center"/>
              <w:rPr>
                <w:sz w:val="22"/>
                <w:szCs w:val="22"/>
              </w:rPr>
            </w:pPr>
            <w:r w:rsidRPr="004D4E2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D4E2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D4E2D" w:rsidRDefault="006E5421" w:rsidP="004D4E2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4E2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D4E2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4E2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D4E2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D4E2D" w:rsidRDefault="006E5421" w:rsidP="004D4E2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4E2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D4E2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4E2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D4E2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D4E2D" w:rsidRDefault="006E5421" w:rsidP="004D4E2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4E2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D4E2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4E2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D4E2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D4E2D" w:rsidRDefault="006E5421" w:rsidP="004D4E2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D4E2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D4E2D" w:rsidRDefault="006E5421" w:rsidP="004D4E2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4E2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D4E2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4E2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D4E2D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D4E2D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1025" TargetMode="External"/><Relationship Id="rId13" Type="http://schemas.openxmlformats.org/officeDocument/2006/relationships/hyperlink" Target="https://urait.ru/bcode/5638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775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11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60059" TargetMode="External"/><Relationship Id="rId10" Type="http://schemas.openxmlformats.org/officeDocument/2006/relationships/hyperlink" Target="https://urait.ru/bcode/561316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852" TargetMode="External"/><Relationship Id="rId14" Type="http://schemas.openxmlformats.org/officeDocument/2006/relationships/hyperlink" Target="https://urait.ru/bcode/5695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7446C-6FDB-4159-AF11-6139CCA2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4043</Words>
  <Characters>23049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2025-05-21T07:46:00Z</dcterms:modified>
</cp:coreProperties>
</file>