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243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243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243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A243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Страхование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2AF034" w:rsidR="00A77598" w:rsidRPr="00897FD6" w:rsidRDefault="00A77598" w:rsidP="00897FD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97FD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43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3A1">
              <w:rPr>
                <w:rFonts w:ascii="Times New Roman" w:hAnsi="Times New Roman" w:cs="Times New Roman"/>
                <w:sz w:val="20"/>
                <w:szCs w:val="20"/>
              </w:rPr>
              <w:t>к.э.н, Савченко Ольга Семеновна</w:t>
            </w:r>
          </w:p>
        </w:tc>
      </w:tr>
      <w:tr w:rsidR="007A7979" w:rsidRPr="007A7979" w14:paraId="7997D680" w14:textId="77777777" w:rsidTr="00ED54AA">
        <w:tc>
          <w:tcPr>
            <w:tcW w:w="9345" w:type="dxa"/>
          </w:tcPr>
          <w:p w14:paraId="45A582CD" w14:textId="77777777" w:rsidR="007A7979" w:rsidRPr="00A243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3A1">
              <w:rPr>
                <w:rFonts w:ascii="Times New Roman" w:hAnsi="Times New Roman" w:cs="Times New Roman"/>
                <w:sz w:val="20"/>
                <w:szCs w:val="20"/>
              </w:rPr>
              <w:t>к.э.н, Стоноженко Инна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290582" w:rsidR="004475DA" w:rsidRPr="00897FD6" w:rsidRDefault="00897F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1C5BCF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4CC28E4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B90196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13FCBA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2C7435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7415022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15C64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644C59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8CEC9C8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52C99E6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C38C92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A40A82" w:rsidR="00D75436" w:rsidRDefault="001F29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1AE316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012C85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97D3B1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56C8AB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E08733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5C32FF" w:rsidR="00D75436" w:rsidRDefault="001F29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43A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24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Раскрытие перед студентами панорамы современного страхового рынка, его роли и места в социально-экономическом развитии, организационных форм всех учреждений, занимающихся страхованием, видов страхового продукта, взаимодействием страховых организаций между собой и с другими финансовыми институтами, спецификой финансовой деятельности страховых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Страхование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36B5E49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7B0EBAB5" w14:textId="77777777" w:rsidR="009719AD" w:rsidRPr="009719AD" w:rsidRDefault="009719AD" w:rsidP="009719AD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A243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43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43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43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43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43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43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43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43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43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УК-10.2 -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43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43A1">
              <w:rPr>
                <w:rFonts w:ascii="Times New Roman" w:hAnsi="Times New Roman" w:cs="Times New Roman"/>
              </w:rPr>
              <w:t>экономическую природу рисков, варианты классификации собственных экономических и финансовых рисков для целей управления и принятия обоснованных решений по эффективному функционированию хозяйствующего субъекта</w:t>
            </w:r>
            <w:r w:rsidRPr="00A243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43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43A1">
              <w:rPr>
                <w:rFonts w:ascii="Times New Roman" w:hAnsi="Times New Roman" w:cs="Times New Roman"/>
              </w:rPr>
              <w:t>определять место страхования в системе методов управления риском; отличать страховые экономические отношения от нестраховых, соответственно, страховую сделку от псевдостраховой</w:t>
            </w:r>
            <w:r w:rsidRPr="00A243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43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43A1">
              <w:rPr>
                <w:rFonts w:ascii="Times New Roman" w:hAnsi="Times New Roman" w:cs="Times New Roman"/>
              </w:rPr>
              <w:t>навыками обоснования эффективности использования страховой защиты при принятии экономических решений функционирования хозяйствующего субъекта</w:t>
            </w:r>
            <w:r w:rsidRPr="00A243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43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243A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243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243A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243A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243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(ак</w:t>
            </w:r>
            <w:r w:rsidR="00AE2B1A" w:rsidRPr="00A243A1">
              <w:rPr>
                <w:rFonts w:ascii="Times New Roman" w:hAnsi="Times New Roman" w:cs="Times New Roman"/>
                <w:b/>
              </w:rPr>
              <w:t>адемические</w:t>
            </w:r>
            <w:r w:rsidRPr="00A243A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243A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243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243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243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243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243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243A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243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243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243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243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243A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243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243A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Тема 1. Социально-экономическая сущность страхования и его роль в рыночной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Зарождение страхования в глубокой древности. Развитие страхования в Западной Европе в средние века. Основные этапы эволюции страхового дела. История российского страхования. Организационные формы резервных фондов в России: централизованный страховой фонд, фонд страховщиков и др.</w:t>
            </w:r>
            <w:r w:rsidRPr="00A243A1">
              <w:rPr>
                <w:sz w:val="22"/>
                <w:szCs w:val="22"/>
                <w:lang w:bidi="ru-RU"/>
              </w:rPr>
              <w:br/>
              <w:t>Социально-экономическая сущность страхования.</w:t>
            </w:r>
            <w:r w:rsidRPr="00A243A1">
              <w:rPr>
                <w:sz w:val="22"/>
                <w:szCs w:val="22"/>
                <w:lang w:bidi="ru-RU"/>
              </w:rPr>
              <w:br/>
              <w:t>Роль страхования в современном социально-экономическом развитии.</w:t>
            </w:r>
            <w:r w:rsidRPr="00A243A1">
              <w:rPr>
                <w:sz w:val="22"/>
                <w:szCs w:val="22"/>
                <w:lang w:bidi="ru-RU"/>
              </w:rPr>
              <w:br/>
              <w:t>Понятие, функции и признаки страхования.</w:t>
            </w:r>
            <w:r w:rsidRPr="00A243A1">
              <w:rPr>
                <w:sz w:val="22"/>
                <w:szCs w:val="22"/>
                <w:lang w:bidi="ru-RU"/>
              </w:rPr>
              <w:br/>
              <w:t>Основные термины и понятия в страховании.</w:t>
            </w:r>
            <w:r w:rsidRPr="00A243A1">
              <w:rPr>
                <w:sz w:val="22"/>
                <w:szCs w:val="22"/>
                <w:lang w:bidi="ru-RU"/>
              </w:rPr>
              <w:br/>
              <w:t>Информационные ресурсы в страховании (Консультант Плюс, официальные сайты министерств и ведомств, профессиональный страховой портал «Страхование Сегодня», рейтинговое агентство «ЭкспертРА» и др.)</w:t>
            </w:r>
            <w:r w:rsidRPr="00A243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243A1" w14:paraId="1B29A3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CD925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2. Юридические основы страхования. Страховой надзор и условия лицензирования страховой деятельности Организация страховой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348F7" w14:textId="77777777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Юридические основы страхования. Гражданский кодекс РФ, глава 48 "О страховании ". Закон РФ "Об организации страхового дела в Российской Федерации". Закон "Об обязательном медицинском страховании в Российской Федерации" - основа страховой деятельности в РФ. Мегарегулирование на финансовом рынке.</w:t>
            </w:r>
            <w:r w:rsidRPr="00A243A1">
              <w:rPr>
                <w:sz w:val="22"/>
                <w:szCs w:val="22"/>
                <w:lang w:bidi="ru-RU"/>
              </w:rPr>
              <w:br/>
              <w:t>Системы регулирования страховым рынком: формы, методы, инструменты и институты. Макропруденциальное регулирование и микропруденциальный надзор.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Страховой надзор, его необходимость и выполняемые функции. Органы страхового надзора в РФ. Западные системы страхового надзора.</w:t>
            </w:r>
            <w:r w:rsidRPr="00A243A1">
              <w:rPr>
                <w:sz w:val="22"/>
                <w:szCs w:val="22"/>
                <w:lang w:bidi="ru-RU"/>
              </w:rPr>
              <w:br/>
              <w:t>Условия лицензирования страховой деятельности. Классификация отраслей страхования. Лицензия, условия её получения. Ограничения по величине уставного капитала.</w:t>
            </w:r>
            <w:r w:rsidRPr="00A243A1">
              <w:rPr>
                <w:sz w:val="22"/>
                <w:szCs w:val="22"/>
                <w:lang w:bidi="ru-RU"/>
              </w:rPr>
              <w:br/>
              <w:t>Российский страховой рынок, условия существования. Рынок страховщика и рынок страхователя. Емкость страхового рынка, его конъюнктура. Внешний и внутренний страховые рынки.</w:t>
            </w:r>
            <w:r w:rsidRPr="00A243A1">
              <w:rPr>
                <w:sz w:val="22"/>
                <w:szCs w:val="22"/>
                <w:lang w:bidi="ru-RU"/>
              </w:rPr>
              <w:br/>
              <w:t>Участники страхового рынка: продавцы, покупатели и посредники. Продавцы страхового рынка - страховые и перестраховочные организации. Характеристика страховых организаций: государственные акционерные страховые организации, частные страховые организации, акционерные общества открытого типа, акционерные общества закрытого типа, коммандитные товарищества, общества взаимного страхования, страховые холдинги и концерны. Организационная структура страховой компании. Система управления страховой компанией. Западные модели построения системы филиалов. Классические страховые компании и InsurTech компании.</w:t>
            </w:r>
            <w:r w:rsidRPr="00A243A1">
              <w:rPr>
                <w:sz w:val="22"/>
                <w:szCs w:val="22"/>
                <w:lang w:bidi="ru-RU"/>
              </w:rPr>
              <w:br/>
              <w:t xml:space="preserve">Факторы спроса и предложения страховых продуктов. Виды страховых продуктов. Каналы </w:t>
            </w:r>
            <w:r w:rsidRPr="00A243A1">
              <w:rPr>
                <w:sz w:val="22"/>
                <w:szCs w:val="22"/>
                <w:lang w:bidi="ru-RU"/>
              </w:rPr>
              <w:lastRenderedPageBreak/>
              <w:t>продаж. Анализ основных показателей продаж страховых продуктов.</w:t>
            </w:r>
            <w:r w:rsidRPr="00A243A1">
              <w:rPr>
                <w:sz w:val="22"/>
                <w:szCs w:val="22"/>
                <w:lang w:bidi="ru-RU"/>
              </w:rPr>
              <w:br/>
              <w:t>Страховые посредники - страховые агенты и страховые брокеры. Страховые агенты. Принципы работы, необходимые деловые качества. Генеральные агенты и субагенты. Страховые брокеры. Условия лицензирования их деятельности.</w:t>
            </w:r>
            <w:r w:rsidRPr="00A243A1">
              <w:rPr>
                <w:sz w:val="22"/>
                <w:szCs w:val="22"/>
                <w:lang w:bidi="ru-RU"/>
              </w:rPr>
              <w:br/>
              <w:t>Индикаторы страхового рынка. Сравнительная характеристика цифровизации российского и международных страховых рынков.</w:t>
            </w:r>
            <w:r w:rsidRPr="00A243A1">
              <w:rPr>
                <w:sz w:val="22"/>
                <w:szCs w:val="22"/>
                <w:lang w:bidi="ru-RU"/>
              </w:rPr>
              <w:br/>
              <w:t>IT- система «Бюро страховых историй».</w:t>
            </w:r>
            <w:r w:rsidRPr="00A243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3147B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58A21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0C67E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B9396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243A1" w14:paraId="6064DF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B064A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3. Понятие риска в страховании. Рисковый менеджмент.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D180E" w14:textId="77777777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Понятие риска в страховании. Риск как вероятностное распределение результатов деятельности; риск как вероятность отклонения фактических результатов от запланированных. Риск как распределение вероятности ущербов.</w:t>
            </w:r>
            <w:r w:rsidRPr="00A243A1">
              <w:rPr>
                <w:sz w:val="22"/>
                <w:szCs w:val="22"/>
                <w:lang w:bidi="ru-RU"/>
              </w:rPr>
              <w:br/>
              <w:t>Измерение рисков: ожидаемое значение, дисперсия, стандартное отклонение, коэффициент вариации.</w:t>
            </w:r>
            <w:r w:rsidRPr="00A243A1">
              <w:rPr>
                <w:sz w:val="22"/>
                <w:szCs w:val="22"/>
                <w:lang w:bidi="ru-RU"/>
              </w:rPr>
              <w:br/>
              <w:t>Классификация рисков. Чистые и спекулятивные риски; фундаментальные и частные риски. Классы рисков. Признаки разграничения страхуемых рисков. Техническая единица страхования.</w:t>
            </w:r>
            <w:r w:rsidRPr="00A243A1">
              <w:rPr>
                <w:sz w:val="22"/>
                <w:szCs w:val="22"/>
                <w:lang w:bidi="ru-RU"/>
              </w:rPr>
              <w:br/>
              <w:t>Рисковой менеджмент. Идентификация риска. Измерение риска. Контроль риска. Иммитационное моделирование с помощью программного продукта ModelRisk</w:t>
            </w:r>
            <w:r w:rsidRPr="00A243A1">
              <w:rPr>
                <w:sz w:val="22"/>
                <w:szCs w:val="22"/>
                <w:lang w:bidi="ru-RU"/>
              </w:rPr>
              <w:br/>
              <w:t>Передача риска (трансфер) от страхователя к страховщику. Критерии страхуемости рисов: случайность распределения ущерба; оценка распределения ущерба; однозначность распределения; независимость страхуемых рисков; возможность оценки максимальной величины ущерба.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Страховой портфель страховщика, его характеристики, влияние на ситуацию принятия решений. Формирования страхового портфеля страховщика, его характеристики, влияние на ситуацию принятия андеррайтинговых решений. Цифровые технологии андеррайтинга: Big Data, машинное обучение, искусственный интеллект и др.</w:t>
            </w:r>
            <w:r w:rsidRPr="00A243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09C63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C70DB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27B2A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BF2F7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A243A1" w14:paraId="5A62C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0D454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4. Основные принципы страхования. Договор страхования.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482E7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Юридические принципы страхования:</w:t>
            </w:r>
            <w:r w:rsidRPr="00A243A1">
              <w:rPr>
                <w:sz w:val="22"/>
                <w:szCs w:val="22"/>
                <w:lang w:bidi="ru-RU"/>
              </w:rPr>
              <w:br/>
              <w:t>1.-Страховой интерес как юридически признанное отношение страхователя к объекту страхования и необходимая предпосылка для заключения договора страхования.</w:t>
            </w:r>
            <w:r w:rsidR="00A243A1">
              <w:rPr>
                <w:sz w:val="22"/>
                <w:szCs w:val="22"/>
                <w:lang w:bidi="ru-RU"/>
              </w:rPr>
              <w:t xml:space="preserve"> </w:t>
            </w:r>
          </w:p>
          <w:p w14:paraId="015BBA35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2.-Принцип высшей добросовестности. Существенные факты, необходимость их раскрытия.</w:t>
            </w:r>
            <w:r w:rsidRPr="00A243A1">
              <w:rPr>
                <w:sz w:val="22"/>
                <w:szCs w:val="22"/>
                <w:lang w:bidi="ru-RU"/>
              </w:rPr>
              <w:br/>
              <w:t>3.-Принципы возмещения.</w:t>
            </w:r>
            <w:r w:rsidR="00A243A1">
              <w:rPr>
                <w:sz w:val="22"/>
                <w:szCs w:val="22"/>
                <w:lang w:bidi="ru-RU"/>
              </w:rPr>
              <w:t xml:space="preserve"> </w:t>
            </w:r>
          </w:p>
          <w:p w14:paraId="4DFE7C23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4.-Принцип регресса или суброгации.</w:t>
            </w:r>
          </w:p>
          <w:p w14:paraId="6D9828EA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5.-Контрибуция, её основы.</w:t>
            </w:r>
          </w:p>
          <w:p w14:paraId="1F8C2D6D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6.-Принцип первопричины.</w:t>
            </w:r>
          </w:p>
          <w:p w14:paraId="1CA6FD22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Договор страхования как соглашение между страхователем и страховщиком. Структура страхового договора. Характеристика основных разделов договора.</w:t>
            </w:r>
          </w:p>
          <w:p w14:paraId="63E76B0F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lastRenderedPageBreak/>
              <w:t>Заявление на страхование. Страховой полис и другие страховые документы. Условия страхового договора: общие, специфические и частные. Права и обязанности сторон в договоре страхования.</w:t>
            </w:r>
          </w:p>
          <w:p w14:paraId="476842B6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Прекращение договора страхования. Недействительность договора страхования.</w:t>
            </w:r>
          </w:p>
          <w:p w14:paraId="043E6586" w14:textId="4D6C1B83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Возобновление договора страхования, льготные дни.</w:t>
            </w:r>
            <w:r w:rsidRPr="00A243A1">
              <w:rPr>
                <w:sz w:val="22"/>
                <w:szCs w:val="22"/>
                <w:lang w:bidi="ru-RU"/>
              </w:rPr>
              <w:br/>
              <w:t>Операционный учет договоров страхования.</w:t>
            </w:r>
            <w:r w:rsidRPr="00A243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97256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430FA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7913B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B56EE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243A1" w14:paraId="2C1226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0B68D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5. Методические принципы расчета страховой премии.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25ADD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Страховая премия как цена страховой услуги. Элементы страховой премии. Назначение нетто-ставки, нагрузки и надбавки на прибыль.</w:t>
            </w:r>
            <w:r w:rsidRPr="00A243A1">
              <w:rPr>
                <w:sz w:val="22"/>
                <w:szCs w:val="22"/>
                <w:lang w:bidi="ru-RU"/>
              </w:rPr>
              <w:br/>
              <w:t>Понятие страхового тарифа. Расчетные и конъюнктурные страховые тарифы.</w:t>
            </w:r>
            <w:r w:rsidRPr="00A243A1">
              <w:rPr>
                <w:sz w:val="22"/>
                <w:szCs w:val="22"/>
                <w:lang w:bidi="ru-RU"/>
              </w:rPr>
              <w:br/>
              <w:t>Методика расчета тарифной нетто-ставки. Показатель убыточности страховой суммы и элементы убыточности. Расчет тарифной нетто-ставки с помощью показателей теории вероятности и статистики. Принципы расчета страховой (рисковой) надбавки.</w:t>
            </w:r>
          </w:p>
          <w:p w14:paraId="2F485D14" w14:textId="77777777" w:rsidR="004475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Актуарные расчеты. Информационно-аналитическая база статистики убытков. Демографическая статистика в страховании жизни. Брутто-ставка, особенности ее расчета в зависимости от вида страхования. Предиктивная аналитика.  Технологии Big Data, модели машинного обучения, искусственный интеллект. Новые цифровые алгоритмы</w:t>
            </w:r>
          </w:p>
          <w:p w14:paraId="2B580F19" w14:textId="7330B979" w:rsidR="00A243A1" w:rsidRPr="00A243A1" w:rsidRDefault="00A243A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7FDAF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C06FB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48DF2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650AF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243A1" w14:paraId="63AE7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2A644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6. Личное страхование, его назначение и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38B33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Личное страхование, его экономическая сущность и назначение. Взаимосвязь личного страхования с системой социального обеспечения и социального страхования.</w:t>
            </w:r>
            <w:r w:rsidRPr="00A243A1">
              <w:rPr>
                <w:sz w:val="22"/>
                <w:szCs w:val="22"/>
                <w:lang w:bidi="ru-RU"/>
              </w:rPr>
              <w:br/>
              <w:t>Классификация видов личного страхования: страхование жизни, страхование от несчастных случаев и болезней, медицинское страхование.</w:t>
            </w:r>
            <w:r w:rsidRPr="00A243A1">
              <w:rPr>
                <w:sz w:val="22"/>
                <w:szCs w:val="22"/>
                <w:lang w:bidi="ru-RU"/>
              </w:rPr>
              <w:br/>
              <w:t>Понятие риска в страховании жизни. Основные договоры: на дожитие, на случай смерти, смешанные. Инвестиционное страхование жизни.</w:t>
            </w:r>
            <w:r w:rsidRPr="00A243A1">
              <w:rPr>
                <w:sz w:val="22"/>
                <w:szCs w:val="22"/>
                <w:lang w:bidi="ru-RU"/>
              </w:rPr>
              <w:br/>
              <w:t>Основы методики построения нетто-ставки по страхованию жизни. Дисконтирование. Статистическая база расчетов: таблицы смертности.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с участием в прибыли страховой компании. Разновидность бонусов.</w:t>
            </w:r>
          </w:p>
          <w:p w14:paraId="4F05164F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Особенности договоров страхования в странах Западной Европы. Страхование на случай первой и второй смерти. Юнит-трасты и Евро-бонды.</w:t>
            </w:r>
          </w:p>
          <w:p w14:paraId="384220D9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капитала: страхование к совершеннолетию, к бракосочетанию, рентное страхование, ритуальное страхование.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от несчастных случаев: обязательное и добровольное. Основные виды договоров: страхование граждан, детей, пассажиров, туристов и др. от несчастных случаев. Медицинское страхование. Коллективное и индивидуальное страхование.</w:t>
            </w:r>
            <w:r w:rsidRPr="00A243A1">
              <w:rPr>
                <w:sz w:val="22"/>
                <w:szCs w:val="22"/>
                <w:lang w:bidi="ru-RU"/>
              </w:rPr>
              <w:br/>
              <w:t xml:space="preserve">Особенности документального оформления </w:t>
            </w:r>
            <w:r w:rsidRPr="00A243A1">
              <w:rPr>
                <w:sz w:val="22"/>
                <w:szCs w:val="22"/>
                <w:lang w:bidi="ru-RU"/>
              </w:rPr>
              <w:lastRenderedPageBreak/>
              <w:t>страхового случая в личном страховании.</w:t>
            </w:r>
            <w:r w:rsidRPr="00A243A1">
              <w:rPr>
                <w:sz w:val="22"/>
                <w:szCs w:val="22"/>
                <w:lang w:bidi="ru-RU"/>
              </w:rPr>
              <w:br/>
              <w:t>Основные модели финансирования расходов на здравоохранение в мировой практике: страховая медицина, бюджетное финансирование, смешанный вариант.</w:t>
            </w:r>
          </w:p>
          <w:p w14:paraId="71327118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Правовые основы медицинского страхования в Российской Федерации.</w:t>
            </w:r>
          </w:p>
          <w:p w14:paraId="34CEC9D9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Назначение обязательного медицинского страхования, его организация, источники финансирования.</w:t>
            </w:r>
            <w:r w:rsidRPr="00A243A1">
              <w:rPr>
                <w:sz w:val="22"/>
                <w:szCs w:val="22"/>
                <w:lang w:bidi="ru-RU"/>
              </w:rPr>
              <w:br/>
              <w:t>Добровольное медицинское страхование: коллективное и индивидуальное.</w:t>
            </w:r>
          </w:p>
          <w:p w14:paraId="1917C3F4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Содержание, функции и организация социального страхования (внебюджетные фонды). Система социального страхования в РФ. Современная классификация социальных выплат по социальному страхованию.</w:t>
            </w:r>
          </w:p>
          <w:p w14:paraId="72EC858A" w14:textId="77777777" w:rsidR="004475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Личное страхование и уроки пандемии. Страхование от COVID и применение дистанционных технологий в медицине.</w:t>
            </w:r>
          </w:p>
          <w:p w14:paraId="30C154F2" w14:textId="091B2F26" w:rsidR="00A243A1" w:rsidRPr="00A243A1" w:rsidRDefault="00A243A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4A461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2D641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28495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52377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243A1" w14:paraId="5134A5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89668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7. Имущественное страхование, его сущность и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228D8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Понятие и классификация имущественного страхования. Основной принцип имущественного страхования - возмещение ущерба.</w:t>
            </w:r>
            <w:r w:rsidRPr="00A243A1">
              <w:rPr>
                <w:sz w:val="22"/>
                <w:szCs w:val="22"/>
                <w:lang w:bidi="ru-RU"/>
              </w:rPr>
              <w:br/>
              <w:t>Определение страховой суммы, возможность её отклонения от страховой стоимости, пропорциональное страхование, оговорка Эверидж.</w:t>
            </w:r>
            <w:r w:rsidRPr="00A243A1">
              <w:rPr>
                <w:sz w:val="22"/>
                <w:szCs w:val="22"/>
                <w:lang w:bidi="ru-RU"/>
              </w:rPr>
              <w:br/>
              <w:t>Понятие двойного страхования. Преодоление последствий двойного страхования, контрибуция.</w:t>
            </w:r>
          </w:p>
          <w:p w14:paraId="07534A31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Виды собственного участия страхователя в покрытии ущерба: безусловная (вычитаемая) и условная франшиза, лимит ответственности, страхование "на первый риск".</w:t>
            </w:r>
          </w:p>
          <w:p w14:paraId="2D349D0F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Формы возмещения ущерба: денежная, ремонт, восстановление, замена.</w:t>
            </w:r>
          </w:p>
          <w:p w14:paraId="0C1DB81D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от огня: история огневого страхования; дефиниция пожара, страховые случаи; исключения из страхового покрытия; факторы, влияющие на размер тарифа; возмещение ущерба, дополнительные условия и оговорки.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от краж: дефиниция кражи; основная и дополнительные гарантии; исключения из основного покрытия; факторы, влияющие на размер тарифной ставки. Возмещение ущерба. Особенности страхования ценностей.</w:t>
            </w:r>
            <w:r w:rsidRPr="00A243A1">
              <w:rPr>
                <w:sz w:val="22"/>
                <w:szCs w:val="22"/>
                <w:lang w:bidi="ru-RU"/>
              </w:rPr>
              <w:br/>
              <w:t>Договоры страхования от всех рисков (на примере страхования имущества граждан): общие и специальные договоры страхования; исключения из страхового покрытия; возмещение ущерба; льготы предоставляемые при возобновлении договоров страхования.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убытков вследствие перерывов в производстве: причины возникновения экономических потерь, основные понятия.</w:t>
            </w:r>
            <w:r w:rsidRPr="00A243A1">
              <w:rPr>
                <w:sz w:val="22"/>
                <w:szCs w:val="22"/>
                <w:lang w:bidi="ru-RU"/>
              </w:rPr>
              <w:br/>
              <w:t xml:space="preserve">Цель страхования косвенного финансового ущерба; период возмещения; объект страхования прибыли от простоя; расчет ущерба. Определение дополнительных, или чрезвычайных, расходов. </w:t>
            </w:r>
            <w:r w:rsidRPr="00A243A1">
              <w:rPr>
                <w:sz w:val="22"/>
                <w:szCs w:val="22"/>
                <w:lang w:bidi="ru-RU"/>
              </w:rPr>
              <w:lastRenderedPageBreak/>
              <w:t>Страхование арендных платежей, страхование временной прибыли.</w:t>
            </w:r>
          </w:p>
          <w:p w14:paraId="38004EE3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Автотранспортное страхование. Объекты страхования. Страхователи. Виды договоров страхования, страховые случаи. Варианты (программы) страхования.</w:t>
            </w:r>
          </w:p>
          <w:p w14:paraId="1801AE6C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Морское страхование. История развития морского страхования. Назначение. Объекты страхования: каско карго, фрахт, гражданская ответственность. Условия страхования. Понятия общей и частной аварии. Страховые случаи. Исключения из страховой защиты.</w:t>
            </w:r>
          </w:p>
          <w:p w14:paraId="48D29FBA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Авиационное страхование: страхование каско, грузов, гражданской ответственности. Виды страхования гражданской ответственности. Страхователи. Страховые события. Страхование авиарисков за рубежом.</w:t>
            </w:r>
          </w:p>
          <w:p w14:paraId="0D9D290A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Зарождение страхования грузоперевозок в мировой практике и в России. Классификация грузов. Виды страховых договоров.</w:t>
            </w:r>
          </w:p>
          <w:p w14:paraId="6D541567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грузов в международной торговле. Заключение договоров страхования в основных видах торговых сделок: СИФ, КАФ, ФОБ и ФАС. Страхование грузов на территории Российской Федерации.</w:t>
            </w:r>
            <w:r w:rsidRPr="00A243A1">
              <w:rPr>
                <w:sz w:val="22"/>
                <w:szCs w:val="22"/>
                <w:lang w:bidi="ru-RU"/>
              </w:rPr>
              <w:br/>
              <w:t>Понятие страхования технических рисков. Классификация видов страхования, относящихся к отрасли страхования технических рисков. Обязательность страхования за рубежом.</w:t>
            </w:r>
          </w:p>
          <w:p w14:paraId="18BE6845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строительных рисков: страхователи, деление страховой ответственности между ними, страхование строительства на условии "под ключ", объекты страхования, описание рисков, расширение страхового покрытия.</w:t>
            </w:r>
          </w:p>
          <w:p w14:paraId="1BB9E86B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Специфика расчета страховой суммы и страховой премии. Возмещение ущерба. Понятия монтажного страхования и страхования строительно-монтажных рисков. Объекты страхования. Специфика определения периода страхования.</w:t>
            </w:r>
          </w:p>
          <w:p w14:paraId="15ECE3A1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строительных машин и оборудования: объекты страхования, основные гарантии; заключение договоров типа "от всех рисков"; исключение из покрытия. Расчет убытков при наступлении тотального или частичного ущерба.</w:t>
            </w:r>
          </w:p>
          <w:p w14:paraId="1BAA8623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электронного оборудования и аппаратуры: объекты страхования; исчисление страховой суммы; специфика полиса; страхование гражданской ответственности за вред, который может быть нанесён электронно-вычислительной технике третьим лицом.</w:t>
            </w:r>
          </w:p>
          <w:p w14:paraId="79AEE97F" w14:textId="667117CA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Особенности документального оформления страхового случая в имущественном страховании.</w:t>
            </w:r>
            <w:r w:rsidRPr="00A243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0A58C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BC1CE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6BC6C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76B1A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243A1" w14:paraId="583AB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2DB84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8. Страхование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EF6F5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 xml:space="preserve">Социально-экономическое значение страхования ответственности. К. Г. Мольт - основатель отрасли. Причины развития этой отрасли. Понятие ответственности. Различие между гражданской ответственностью и уголовной ответственностью. </w:t>
            </w:r>
            <w:r w:rsidRPr="00A243A1">
              <w:rPr>
                <w:sz w:val="22"/>
                <w:szCs w:val="22"/>
                <w:lang w:bidi="ru-RU"/>
              </w:rPr>
              <w:lastRenderedPageBreak/>
              <w:t>Договорная и внедоговорная гражданская ответственность. Характеристика потерпевших.</w:t>
            </w:r>
            <w:r w:rsidRPr="00A243A1">
              <w:rPr>
                <w:sz w:val="22"/>
                <w:szCs w:val="22"/>
                <w:lang w:bidi="ru-RU"/>
              </w:rPr>
              <w:br/>
              <w:t>Условия для предъявления иска по гражданской ответственности.</w:t>
            </w:r>
            <w:r w:rsidRPr="00A243A1">
              <w:rPr>
                <w:sz w:val="22"/>
                <w:szCs w:val="22"/>
                <w:lang w:bidi="ru-RU"/>
              </w:rPr>
              <w:br/>
              <w:t>Виды страхования ответственности в России и за рубежом.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гражданской ответственности в сфере частной жизни.</w:t>
            </w:r>
          </w:p>
          <w:p w14:paraId="4047A05F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ответственности предприятия, включая ответственность работодателя.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гражданской ответственности производителя товара. Закон " О защите прав потребителей".</w:t>
            </w:r>
            <w:r w:rsidRPr="00A243A1">
              <w:rPr>
                <w:sz w:val="22"/>
                <w:szCs w:val="22"/>
                <w:lang w:bidi="ru-RU"/>
              </w:rPr>
              <w:br/>
              <w:t>Страхование ответственности за нанесение вреда окружающей среде. Виды загрязнения окружающей среды, особенности страхования. Существующие пулы.</w:t>
            </w:r>
          </w:p>
          <w:p w14:paraId="4AA4DA19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профессиональной ответственности. Страхование ответственности нотариусов, врачей.</w:t>
            </w:r>
          </w:p>
          <w:p w14:paraId="060CAFF1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Страхование автогражданской ответственности. Страховые случаи, страховые события. Основание для выплаты страхового возмещения. Закон об обязательном страховании автогражданской ответственности. Оформление извещения о ДТП в формате электронного документа. Приложение «Помощник ОСАГО».</w:t>
            </w:r>
          </w:p>
          <w:p w14:paraId="6A6DE166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Международная система «Зеленая карта».</w:t>
            </w:r>
          </w:p>
          <w:p w14:paraId="2D6C427A" w14:textId="35B86219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Особенности документального оформления страхового случая в страховании гражданской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F0EF9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E3953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A214E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CACB6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243A1" w14:paraId="591C78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7236D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9. Перестрахование.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51103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Сущность перестрахования, его функции. Сострахование и собственно перестрахование.</w:t>
            </w:r>
            <w:r w:rsidRPr="00A243A1">
              <w:rPr>
                <w:sz w:val="22"/>
                <w:szCs w:val="22"/>
                <w:lang w:bidi="ru-RU"/>
              </w:rPr>
              <w:br/>
              <w:t>Факультативное, облигаторное, облигаторно-факультативное и факультативно-облигаторное перестрахование.</w:t>
            </w:r>
            <w:r w:rsidRPr="00A243A1">
              <w:rPr>
                <w:sz w:val="22"/>
                <w:szCs w:val="22"/>
                <w:lang w:bidi="ru-RU"/>
              </w:rPr>
              <w:br/>
              <w:t>Основные понятия перестрахования: цедент, цессионер, ретроцедент, ретроцессия, собственное удержание, комиссионное вознаграждение, тантьема.</w:t>
            </w:r>
            <w:r w:rsidRPr="00A243A1">
              <w:rPr>
                <w:sz w:val="22"/>
                <w:szCs w:val="22"/>
                <w:lang w:bidi="ru-RU"/>
              </w:rPr>
              <w:br/>
              <w:t>Пропорциональное перестрахование: квотные перестраховочные договоры, эксцедентные договоры, квотно-эксцедентные договоры.</w:t>
            </w:r>
            <w:r w:rsidRPr="00A243A1">
              <w:rPr>
                <w:sz w:val="22"/>
                <w:szCs w:val="22"/>
                <w:lang w:bidi="ru-RU"/>
              </w:rPr>
              <w:br/>
              <w:t>Непропорциональное перестрахование: эксцедент убытков (excess of loss), эксцедент убыточности или "стоп лосс" (stop loss).</w:t>
            </w:r>
            <w:r w:rsidRPr="00A243A1">
              <w:rPr>
                <w:sz w:val="22"/>
                <w:szCs w:val="22"/>
                <w:lang w:bidi="ru-RU"/>
              </w:rPr>
              <w:br/>
              <w:t>Финансовое перестрахование.</w:t>
            </w:r>
          </w:p>
          <w:p w14:paraId="0CE6FD12" w14:textId="13302982" w:rsidR="00A243A1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Перестраховочные пулы.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7414E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115CB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DD907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B9192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A243A1" w14:paraId="335B6A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537D5" w14:textId="77777777" w:rsidR="004475DA" w:rsidRPr="00A243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Тема 10. Финансы страховых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3ADFA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Законодательное регулирование финансовой деятельности страховых организаций: законы "Об акционерных обществах ", "Об организации страхового дела в Российской Федерации".</w:t>
            </w:r>
            <w:r w:rsidRPr="00A243A1">
              <w:rPr>
                <w:sz w:val="22"/>
                <w:szCs w:val="22"/>
                <w:lang w:bidi="ru-RU"/>
              </w:rPr>
              <w:br/>
              <w:t>Средства страховой организации: собственные и привлеченные. Требования к уставному капиталу страховых организаций.</w:t>
            </w:r>
            <w:r w:rsidRPr="00A243A1">
              <w:rPr>
                <w:sz w:val="22"/>
                <w:szCs w:val="22"/>
                <w:lang w:bidi="ru-RU"/>
              </w:rPr>
              <w:br/>
              <w:t xml:space="preserve">Фонды страховщиков: фонды текущих выплат и фонды отложенных выплат (страховые резервы). Классификация видов страховых резервов. Резервы в страховании жизни и в страховании ином, чем </w:t>
            </w:r>
            <w:r w:rsidRPr="00A243A1">
              <w:rPr>
                <w:sz w:val="22"/>
                <w:szCs w:val="22"/>
                <w:lang w:bidi="ru-RU"/>
              </w:rPr>
              <w:lastRenderedPageBreak/>
              <w:t>страхование жизни. Специфика формирования прибыли страховых организаций. Прибыль от страховых операций и прибыль от инвестиций деятельности. Основные направления использования прибыли.</w:t>
            </w:r>
          </w:p>
          <w:p w14:paraId="44424D8B" w14:textId="77777777" w:rsid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243A1">
              <w:rPr>
                <w:sz w:val="22"/>
                <w:szCs w:val="22"/>
                <w:lang w:bidi="ru-RU"/>
              </w:rPr>
              <w:t>Особенности организации и ведения бухгалтерского учета страховых организаций, формирования бухгалтерской отчетности, налогообложения страховых операций. Программный продукт 1С Страхование 8.3,</w:t>
            </w:r>
            <w:r w:rsidRPr="00A243A1">
              <w:rPr>
                <w:sz w:val="22"/>
                <w:szCs w:val="22"/>
                <w:lang w:bidi="ru-RU"/>
              </w:rPr>
              <w:br/>
              <w:t>Финансовая устойчивость страховых организаций, её оценка.</w:t>
            </w:r>
          </w:p>
          <w:p w14:paraId="5E7BA35E" w14:textId="01E1889B" w:rsidR="004475DA" w:rsidRPr="00A243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bidi="ru-RU"/>
              </w:rPr>
              <w:t>Риск-ориентированный подход в оценке финансовой устойчивости страховой организации – Solvency II. Оценка инвестиционного портфеля страховщика. XBRL(«расширяемый язык деловой отчётности»).</w:t>
            </w:r>
            <w:r w:rsidRPr="00A243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747CE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A90F1" w14:textId="77777777" w:rsidR="004475DA" w:rsidRPr="00A243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71EA0" w14:textId="77777777" w:rsidR="004475DA" w:rsidRPr="00A243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EDF5A" w14:textId="77777777" w:rsidR="004475DA" w:rsidRPr="00A243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243A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243A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43A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243A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243A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243A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243A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243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43A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243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43A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243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243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43A1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A243A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243A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43A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243A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43A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243A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43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</w:rPr>
              <w:t xml:space="preserve">Страхование : учебник для вузов / под редакцией С. Б. Богоявленского, Л. А. Орланюк-Малицкой, С. Ю. Яновой. — 5-е изд., перераб. и доп. — Москва : Издательство Юрайт, 2025. — 471 с. — (Высшее образование). — </w:t>
            </w:r>
            <w:r w:rsidRPr="00A243A1">
              <w:rPr>
                <w:rFonts w:ascii="Times New Roman" w:hAnsi="Times New Roman" w:cs="Times New Roman"/>
                <w:lang w:val="en-US"/>
              </w:rPr>
              <w:t>ISBN</w:t>
            </w:r>
            <w:r w:rsidRPr="00A243A1">
              <w:rPr>
                <w:rFonts w:ascii="Times New Roman" w:hAnsi="Times New Roman" w:cs="Times New Roman"/>
              </w:rPr>
              <w:t xml:space="preserve"> 978-5-534-17257-7.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243A1" w:rsidRDefault="001F29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A243A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https://urait.ru/bcode/566619 </w:t>
              </w:r>
            </w:hyperlink>
          </w:p>
        </w:tc>
      </w:tr>
      <w:tr w:rsidR="00262CF0" w:rsidRPr="00A243A1" w14:paraId="30AF59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F1210" w14:textId="77777777" w:rsidR="00262CF0" w:rsidRPr="00A243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43A1">
              <w:rPr>
                <w:rFonts w:ascii="Times New Roman" w:hAnsi="Times New Roman" w:cs="Times New Roman"/>
              </w:rPr>
              <w:t xml:space="preserve">Страхование и управление рисками : учебник для вузов / под редакцией Г. В. Черновой. — 3-е изд., перераб. и доп. — Москва : Издательство Юрайт, 2025. — 630 с. — (Высшее образование). — </w:t>
            </w:r>
            <w:r w:rsidRPr="00A243A1">
              <w:rPr>
                <w:rFonts w:ascii="Times New Roman" w:hAnsi="Times New Roman" w:cs="Times New Roman"/>
                <w:lang w:val="en-US"/>
              </w:rPr>
              <w:t>ISBN</w:t>
            </w:r>
            <w:r w:rsidRPr="00A243A1">
              <w:rPr>
                <w:rFonts w:ascii="Times New Roman" w:hAnsi="Times New Roman" w:cs="Times New Roman"/>
              </w:rPr>
              <w:t xml:space="preserve"> 978-5-534-20193-2.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64DE41" w14:textId="77777777" w:rsidR="00262CF0" w:rsidRPr="00A243A1" w:rsidRDefault="001F29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243A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https://urait.ru/bcode/560277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4ECB9F" w14:textId="77777777" w:rsidTr="007B550D">
        <w:tc>
          <w:tcPr>
            <w:tcW w:w="9345" w:type="dxa"/>
          </w:tcPr>
          <w:p w14:paraId="5213EB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1D27E1" w14:textId="77777777" w:rsidTr="007B550D">
        <w:tc>
          <w:tcPr>
            <w:tcW w:w="9345" w:type="dxa"/>
          </w:tcPr>
          <w:p w14:paraId="26E67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C602F5" w14:textId="77777777" w:rsidTr="007B550D">
        <w:tc>
          <w:tcPr>
            <w:tcW w:w="9345" w:type="dxa"/>
          </w:tcPr>
          <w:p w14:paraId="408FD4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9999F5" w14:textId="77777777" w:rsidTr="007B550D">
        <w:tc>
          <w:tcPr>
            <w:tcW w:w="9345" w:type="dxa"/>
          </w:tcPr>
          <w:p w14:paraId="0F6C58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F29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2D7A0B0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43A1" w:rsidRPr="00A243A1" w14:paraId="7BDBCB10" w14:textId="77777777" w:rsidTr="00A243A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813A" w14:textId="77777777" w:rsidR="00A243A1" w:rsidRPr="00A243A1" w:rsidRDefault="00A243A1" w:rsidP="00A243A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A243A1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65BC" w14:textId="77777777" w:rsidR="00A243A1" w:rsidRPr="00A243A1" w:rsidRDefault="00A243A1" w:rsidP="00A243A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A243A1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243A1" w:rsidRPr="00A243A1" w14:paraId="6BAF7D38" w14:textId="77777777" w:rsidTr="00A243A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28FD" w14:textId="609BD2D4" w:rsidR="00A243A1" w:rsidRPr="00A243A1" w:rsidRDefault="00A243A1" w:rsidP="00A243A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eastAsia="en-US"/>
              </w:rPr>
              <w:t xml:space="preserve">Ауд. 322 Учебная аудитория (для проведения занятий лекционного типа и </w:t>
            </w:r>
            <w:r w:rsidRPr="00A243A1">
              <w:rPr>
                <w:sz w:val="22"/>
                <w:szCs w:val="22"/>
                <w:lang w:eastAsia="en-US"/>
              </w:rPr>
              <w:lastRenderedPageBreak/>
              <w:t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A243A1">
              <w:rPr>
                <w:sz w:val="22"/>
                <w:szCs w:val="22"/>
                <w:lang w:val="en-US" w:eastAsia="en-US"/>
              </w:rPr>
              <w:t>HP</w:t>
            </w:r>
            <w:r w:rsidRPr="00A243A1">
              <w:rPr>
                <w:sz w:val="22"/>
                <w:szCs w:val="22"/>
                <w:lang w:eastAsia="en-US"/>
              </w:rPr>
              <w:t xml:space="preserve"> 250 </w:t>
            </w:r>
            <w:r w:rsidRPr="00A243A1">
              <w:rPr>
                <w:sz w:val="22"/>
                <w:szCs w:val="22"/>
                <w:lang w:val="en-US" w:eastAsia="en-US"/>
              </w:rPr>
              <w:t>G</w:t>
            </w:r>
            <w:r w:rsidRPr="00A243A1">
              <w:rPr>
                <w:sz w:val="22"/>
                <w:szCs w:val="22"/>
                <w:lang w:eastAsia="en-US"/>
              </w:rPr>
              <w:t>6 1</w:t>
            </w:r>
            <w:r w:rsidRPr="00A243A1">
              <w:rPr>
                <w:sz w:val="22"/>
                <w:szCs w:val="22"/>
                <w:lang w:val="en-US" w:eastAsia="en-US"/>
              </w:rPr>
              <w:t>WY</w:t>
            </w:r>
            <w:r w:rsidRPr="00A243A1">
              <w:rPr>
                <w:sz w:val="22"/>
                <w:szCs w:val="22"/>
                <w:lang w:eastAsia="en-US"/>
              </w:rPr>
              <w:t>58</w:t>
            </w:r>
            <w:r w:rsidRPr="00A243A1">
              <w:rPr>
                <w:sz w:val="22"/>
                <w:szCs w:val="22"/>
                <w:lang w:val="en-US" w:eastAsia="en-US"/>
              </w:rPr>
              <w:t>EA</w:t>
            </w:r>
            <w:r w:rsidRPr="00A243A1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A243A1">
              <w:rPr>
                <w:sz w:val="22"/>
                <w:szCs w:val="22"/>
                <w:lang w:val="en-US" w:eastAsia="en-US"/>
              </w:rPr>
              <w:t>LG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PF</w:t>
            </w:r>
            <w:r w:rsidRPr="00A243A1">
              <w:rPr>
                <w:sz w:val="22"/>
                <w:szCs w:val="22"/>
                <w:lang w:eastAsia="en-US"/>
              </w:rPr>
              <w:t>1500</w:t>
            </w:r>
            <w:r w:rsidRPr="00A243A1">
              <w:rPr>
                <w:sz w:val="22"/>
                <w:szCs w:val="22"/>
                <w:lang w:val="en-US" w:eastAsia="en-US"/>
              </w:rPr>
              <w:t>G</w:t>
            </w:r>
            <w:r w:rsidRPr="00A243A1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3546" w14:textId="77777777" w:rsidR="00A243A1" w:rsidRPr="00A243A1" w:rsidRDefault="00A243A1" w:rsidP="00A243A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eastAsia="en-US"/>
              </w:rPr>
              <w:lastRenderedPageBreak/>
              <w:t>192007, г. Санкт-</w:t>
            </w:r>
            <w:r w:rsidRPr="00A243A1">
              <w:rPr>
                <w:sz w:val="22"/>
                <w:szCs w:val="22"/>
                <w:lang w:eastAsia="en-US"/>
              </w:rPr>
              <w:lastRenderedPageBreak/>
              <w:t xml:space="preserve">Петербург, ул. Прилукская, д. 3, лит. </w:t>
            </w:r>
            <w:r w:rsidRPr="00A243A1"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A243A1" w:rsidRPr="00A243A1" w14:paraId="35D5E39F" w14:textId="77777777" w:rsidTr="00A243A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AF6D" w14:textId="54F40B19" w:rsidR="00A243A1" w:rsidRPr="00A243A1" w:rsidRDefault="00A243A1" w:rsidP="00A243A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eastAsia="en-US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A243A1">
              <w:rPr>
                <w:sz w:val="22"/>
                <w:szCs w:val="22"/>
                <w:lang w:val="en-US" w:eastAsia="en-US"/>
              </w:rPr>
              <w:t>Acer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Aspire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Z</w:t>
            </w:r>
            <w:r w:rsidRPr="00A243A1">
              <w:rPr>
                <w:sz w:val="22"/>
                <w:szCs w:val="22"/>
                <w:lang w:eastAsia="en-US"/>
              </w:rPr>
              <w:t xml:space="preserve">1811 </w:t>
            </w:r>
            <w:r w:rsidRPr="00A243A1">
              <w:rPr>
                <w:sz w:val="22"/>
                <w:szCs w:val="22"/>
                <w:lang w:val="en-US" w:eastAsia="en-US"/>
              </w:rPr>
              <w:t>Intel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Core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i</w:t>
            </w:r>
            <w:r w:rsidRPr="00A243A1">
              <w:rPr>
                <w:sz w:val="22"/>
                <w:szCs w:val="22"/>
                <w:lang w:eastAsia="en-US"/>
              </w:rPr>
              <w:t>5-2400</w:t>
            </w:r>
            <w:r w:rsidRPr="00A243A1">
              <w:rPr>
                <w:sz w:val="22"/>
                <w:szCs w:val="22"/>
                <w:lang w:val="en-US" w:eastAsia="en-US"/>
              </w:rPr>
              <w:t>S</w:t>
            </w:r>
            <w:r w:rsidRPr="00A243A1">
              <w:rPr>
                <w:sz w:val="22"/>
                <w:szCs w:val="22"/>
                <w:lang w:eastAsia="en-US"/>
              </w:rPr>
              <w:t>@2.50</w:t>
            </w:r>
            <w:r w:rsidRPr="00A243A1">
              <w:rPr>
                <w:sz w:val="22"/>
                <w:szCs w:val="22"/>
                <w:lang w:val="en-US" w:eastAsia="en-US"/>
              </w:rPr>
              <w:t>GHz</w:t>
            </w:r>
            <w:r w:rsidRPr="00A243A1">
              <w:rPr>
                <w:sz w:val="22"/>
                <w:szCs w:val="22"/>
                <w:lang w:eastAsia="en-US"/>
              </w:rPr>
              <w:t>/4</w:t>
            </w:r>
            <w:r w:rsidRPr="00A243A1">
              <w:rPr>
                <w:sz w:val="22"/>
                <w:szCs w:val="22"/>
                <w:lang w:val="en-US" w:eastAsia="en-US"/>
              </w:rPr>
              <w:t>Gb</w:t>
            </w:r>
            <w:r w:rsidRPr="00A243A1">
              <w:rPr>
                <w:sz w:val="22"/>
                <w:szCs w:val="22"/>
                <w:lang w:eastAsia="en-US"/>
              </w:rPr>
              <w:t>/1</w:t>
            </w:r>
            <w:r w:rsidRPr="00A243A1">
              <w:rPr>
                <w:sz w:val="22"/>
                <w:szCs w:val="22"/>
                <w:lang w:val="en-US" w:eastAsia="en-US"/>
              </w:rPr>
              <w:t>Tb</w:t>
            </w:r>
            <w:r w:rsidRPr="00A243A1"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 w:rsidRPr="00A243A1">
              <w:rPr>
                <w:sz w:val="22"/>
                <w:szCs w:val="22"/>
                <w:lang w:val="en-US" w:eastAsia="en-US"/>
              </w:rPr>
              <w:t>NEC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ME</w:t>
            </w:r>
            <w:r w:rsidRPr="00A243A1">
              <w:rPr>
                <w:sz w:val="22"/>
                <w:szCs w:val="22"/>
                <w:lang w:eastAsia="en-US"/>
              </w:rPr>
              <w:t>401</w:t>
            </w:r>
            <w:r w:rsidRPr="00A243A1">
              <w:rPr>
                <w:sz w:val="22"/>
                <w:szCs w:val="22"/>
                <w:lang w:val="en-US" w:eastAsia="en-US"/>
              </w:rPr>
              <w:t>X</w:t>
            </w:r>
            <w:r w:rsidRPr="00A243A1"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 w:rsidRPr="00A243A1">
              <w:rPr>
                <w:sz w:val="22"/>
                <w:szCs w:val="22"/>
                <w:lang w:val="en-US" w:eastAsia="en-US"/>
              </w:rPr>
              <w:t>Draper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Baronet</w:t>
            </w:r>
            <w:r w:rsidRPr="00A243A1">
              <w:rPr>
                <w:sz w:val="22"/>
                <w:szCs w:val="22"/>
                <w:lang w:eastAsia="en-US"/>
              </w:rPr>
              <w:t xml:space="preserve"> 183х240 см213/84 - 1 шт., Микшер-усилитель (</w:t>
            </w:r>
            <w:r w:rsidRPr="00A243A1">
              <w:rPr>
                <w:sz w:val="22"/>
                <w:szCs w:val="22"/>
                <w:lang w:val="en-US" w:eastAsia="en-US"/>
              </w:rPr>
              <w:t>JPA</w:t>
            </w:r>
            <w:r w:rsidRPr="00A243A1">
              <w:rPr>
                <w:sz w:val="22"/>
                <w:szCs w:val="22"/>
                <w:lang w:eastAsia="en-US"/>
              </w:rPr>
              <w:t>-1240</w:t>
            </w:r>
            <w:r w:rsidRPr="00A243A1">
              <w:rPr>
                <w:sz w:val="22"/>
                <w:szCs w:val="22"/>
                <w:lang w:val="en-US" w:eastAsia="en-US"/>
              </w:rPr>
              <w:t>A</w:t>
            </w:r>
            <w:r w:rsidRPr="00A243A1">
              <w:rPr>
                <w:sz w:val="22"/>
                <w:szCs w:val="22"/>
                <w:lang w:eastAsia="en-US"/>
              </w:rPr>
              <w:t xml:space="preserve">) 240 Вт/100 В - 1 шт., Акустическая система </w:t>
            </w:r>
            <w:r w:rsidRPr="00A243A1">
              <w:rPr>
                <w:sz w:val="22"/>
                <w:szCs w:val="22"/>
                <w:lang w:val="en-US" w:eastAsia="en-US"/>
              </w:rPr>
              <w:t>JBL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CONTROL</w:t>
            </w:r>
            <w:r w:rsidRPr="00A243A1">
              <w:rPr>
                <w:sz w:val="22"/>
                <w:szCs w:val="22"/>
                <w:lang w:eastAsia="en-US"/>
              </w:rPr>
              <w:t xml:space="preserve"> 25 </w:t>
            </w:r>
            <w:r w:rsidRPr="00A243A1">
              <w:rPr>
                <w:sz w:val="22"/>
                <w:szCs w:val="22"/>
                <w:lang w:val="en-US" w:eastAsia="en-US"/>
              </w:rPr>
              <w:t>WH</w:t>
            </w:r>
            <w:r w:rsidRPr="00A243A1"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B998" w14:textId="77777777" w:rsidR="00A243A1" w:rsidRPr="00A243A1" w:rsidRDefault="00A243A1" w:rsidP="00A243A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 w:rsidRPr="00A243A1"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A243A1" w:rsidRPr="00A243A1" w14:paraId="69E7D697" w14:textId="77777777" w:rsidTr="00A243A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17B6" w14:textId="315A9021" w:rsidR="00A243A1" w:rsidRPr="00A243A1" w:rsidRDefault="00A243A1" w:rsidP="00A243A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eastAsia="en-US"/>
              </w:rPr>
              <w:t>Ауд. 400 Лаборатория "Лабораторный комплекс".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243A1">
              <w:rPr>
                <w:sz w:val="22"/>
                <w:szCs w:val="22"/>
                <w:lang w:val="en-US" w:eastAsia="en-US"/>
              </w:rPr>
              <w:t>Intel</w:t>
            </w:r>
            <w:r w:rsidRPr="00A243A1">
              <w:rPr>
                <w:sz w:val="22"/>
                <w:szCs w:val="22"/>
                <w:lang w:eastAsia="en-US"/>
              </w:rPr>
              <w:t xml:space="preserve">  </w:t>
            </w:r>
            <w:r w:rsidRPr="00A243A1">
              <w:rPr>
                <w:sz w:val="22"/>
                <w:szCs w:val="22"/>
                <w:lang w:val="en-US" w:eastAsia="en-US"/>
              </w:rPr>
              <w:t>I</w:t>
            </w:r>
            <w:r w:rsidRPr="00A243A1">
              <w:rPr>
                <w:sz w:val="22"/>
                <w:szCs w:val="22"/>
                <w:lang w:eastAsia="en-US"/>
              </w:rPr>
              <w:t>5-7400/8+8/1</w:t>
            </w:r>
            <w:r w:rsidRPr="00A243A1">
              <w:rPr>
                <w:sz w:val="22"/>
                <w:szCs w:val="22"/>
                <w:lang w:val="en-US" w:eastAsia="en-US"/>
              </w:rPr>
              <w:t>Tb</w:t>
            </w:r>
            <w:r w:rsidRPr="00A243A1">
              <w:rPr>
                <w:sz w:val="22"/>
                <w:szCs w:val="22"/>
                <w:lang w:eastAsia="en-US"/>
              </w:rPr>
              <w:t>/</w:t>
            </w:r>
            <w:r w:rsidRPr="00A243A1">
              <w:rPr>
                <w:sz w:val="22"/>
                <w:szCs w:val="22"/>
                <w:lang w:val="en-US" w:eastAsia="en-US"/>
              </w:rPr>
              <w:t>GT</w:t>
            </w:r>
            <w:r w:rsidRPr="00A243A1">
              <w:rPr>
                <w:sz w:val="22"/>
                <w:szCs w:val="22"/>
                <w:lang w:eastAsia="en-US"/>
              </w:rPr>
              <w:t>710-2</w:t>
            </w:r>
            <w:r w:rsidRPr="00A243A1">
              <w:rPr>
                <w:sz w:val="22"/>
                <w:szCs w:val="22"/>
                <w:lang w:val="en-US" w:eastAsia="en-US"/>
              </w:rPr>
              <w:t>Gb</w:t>
            </w:r>
            <w:r w:rsidRPr="00A243A1">
              <w:rPr>
                <w:sz w:val="22"/>
                <w:szCs w:val="22"/>
                <w:lang w:eastAsia="en-US"/>
              </w:rPr>
              <w:t>/</w:t>
            </w:r>
            <w:r w:rsidRPr="00A243A1">
              <w:rPr>
                <w:sz w:val="22"/>
                <w:szCs w:val="22"/>
                <w:lang w:val="en-US" w:eastAsia="en-US"/>
              </w:rPr>
              <w:t>DELL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S</w:t>
            </w:r>
            <w:r w:rsidRPr="00A243A1">
              <w:rPr>
                <w:sz w:val="22"/>
                <w:szCs w:val="22"/>
                <w:lang w:eastAsia="en-US"/>
              </w:rPr>
              <w:t>2218</w:t>
            </w:r>
            <w:r w:rsidRPr="00A243A1">
              <w:rPr>
                <w:sz w:val="22"/>
                <w:szCs w:val="22"/>
                <w:lang w:val="en-US" w:eastAsia="en-US"/>
              </w:rPr>
              <w:t>H</w:t>
            </w:r>
            <w:r w:rsidRPr="00A243A1">
              <w:rPr>
                <w:sz w:val="22"/>
                <w:szCs w:val="22"/>
                <w:lang w:eastAsia="en-US"/>
              </w:rPr>
              <w:t xml:space="preserve"> - 21 шт., Ноутбук </w:t>
            </w:r>
            <w:r w:rsidRPr="00A243A1">
              <w:rPr>
                <w:sz w:val="22"/>
                <w:szCs w:val="22"/>
                <w:lang w:val="en-US" w:eastAsia="en-US"/>
              </w:rPr>
              <w:t>HP</w:t>
            </w:r>
            <w:r w:rsidRPr="00A243A1">
              <w:rPr>
                <w:sz w:val="22"/>
                <w:szCs w:val="22"/>
                <w:lang w:eastAsia="en-US"/>
              </w:rPr>
              <w:t xml:space="preserve"> 250 </w:t>
            </w:r>
            <w:r w:rsidRPr="00A243A1">
              <w:rPr>
                <w:sz w:val="22"/>
                <w:szCs w:val="22"/>
                <w:lang w:val="en-US" w:eastAsia="en-US"/>
              </w:rPr>
              <w:t>G</w:t>
            </w:r>
            <w:r w:rsidRPr="00A243A1">
              <w:rPr>
                <w:sz w:val="22"/>
                <w:szCs w:val="22"/>
                <w:lang w:eastAsia="en-US"/>
              </w:rPr>
              <w:t>6 1</w:t>
            </w:r>
            <w:r w:rsidRPr="00A243A1">
              <w:rPr>
                <w:sz w:val="22"/>
                <w:szCs w:val="22"/>
                <w:lang w:val="en-US" w:eastAsia="en-US"/>
              </w:rPr>
              <w:t>WY</w:t>
            </w:r>
            <w:r w:rsidRPr="00A243A1">
              <w:rPr>
                <w:sz w:val="22"/>
                <w:szCs w:val="22"/>
                <w:lang w:eastAsia="en-US"/>
              </w:rPr>
              <w:t>58</w:t>
            </w:r>
            <w:r w:rsidRPr="00A243A1">
              <w:rPr>
                <w:sz w:val="22"/>
                <w:szCs w:val="22"/>
                <w:lang w:val="en-US" w:eastAsia="en-US"/>
              </w:rPr>
              <w:t>EA</w:t>
            </w:r>
            <w:r w:rsidRPr="00A243A1">
              <w:rPr>
                <w:sz w:val="22"/>
                <w:szCs w:val="22"/>
                <w:lang w:eastAsia="en-US"/>
              </w:rPr>
              <w:t xml:space="preserve"> - 4 шт. Мультимедийный проектор </w:t>
            </w:r>
            <w:r w:rsidRPr="00A243A1">
              <w:rPr>
                <w:sz w:val="22"/>
                <w:szCs w:val="22"/>
                <w:lang w:val="en-US" w:eastAsia="en-US"/>
              </w:rPr>
              <w:t>Panasonic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PT</w:t>
            </w:r>
            <w:r w:rsidRPr="00A243A1">
              <w:rPr>
                <w:sz w:val="22"/>
                <w:szCs w:val="22"/>
                <w:lang w:eastAsia="en-US"/>
              </w:rPr>
              <w:t>-</w:t>
            </w:r>
            <w:r w:rsidRPr="00A243A1">
              <w:rPr>
                <w:sz w:val="22"/>
                <w:szCs w:val="22"/>
                <w:lang w:val="en-US" w:eastAsia="en-US"/>
              </w:rPr>
              <w:t>VX</w:t>
            </w:r>
            <w:r w:rsidRPr="00A243A1">
              <w:rPr>
                <w:sz w:val="22"/>
                <w:szCs w:val="22"/>
                <w:lang w:eastAsia="en-US"/>
              </w:rPr>
              <w:t xml:space="preserve">610Е - 1 шт.,Звуковой к-т (микшер-усилитель </w:t>
            </w:r>
            <w:r w:rsidRPr="00A243A1">
              <w:rPr>
                <w:sz w:val="22"/>
                <w:szCs w:val="22"/>
                <w:lang w:val="en-US" w:eastAsia="en-US"/>
              </w:rPr>
              <w:t>Apart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Concept</w:t>
            </w:r>
            <w:r w:rsidRPr="00A243A1">
              <w:rPr>
                <w:sz w:val="22"/>
                <w:szCs w:val="22"/>
                <w:lang w:eastAsia="en-US"/>
              </w:rPr>
              <w:t xml:space="preserve">+ микрофон </w:t>
            </w:r>
            <w:r w:rsidRPr="00A243A1">
              <w:rPr>
                <w:sz w:val="22"/>
                <w:szCs w:val="22"/>
                <w:lang w:val="en-US" w:eastAsia="en-US"/>
              </w:rPr>
              <w:t>BEHRINGER</w:t>
            </w:r>
            <w:r w:rsidRPr="00A243A1">
              <w:rPr>
                <w:sz w:val="22"/>
                <w:szCs w:val="22"/>
                <w:lang w:eastAsia="en-US"/>
              </w:rPr>
              <w:t xml:space="preserve">) - 1 шт., Акустическая система </w:t>
            </w:r>
            <w:r w:rsidRPr="00A243A1">
              <w:rPr>
                <w:sz w:val="22"/>
                <w:szCs w:val="22"/>
                <w:lang w:val="en-US" w:eastAsia="en-US"/>
              </w:rPr>
              <w:t>Hi</w:t>
            </w:r>
            <w:r w:rsidRPr="00A243A1">
              <w:rPr>
                <w:sz w:val="22"/>
                <w:szCs w:val="22"/>
                <w:lang w:eastAsia="en-US"/>
              </w:rPr>
              <w:t>-</w:t>
            </w:r>
            <w:r w:rsidRPr="00A243A1">
              <w:rPr>
                <w:sz w:val="22"/>
                <w:szCs w:val="22"/>
                <w:lang w:val="en-US" w:eastAsia="en-US"/>
              </w:rPr>
              <w:t>Fi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PRO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MASK</w:t>
            </w:r>
            <w:r w:rsidRPr="00A243A1">
              <w:rPr>
                <w:sz w:val="22"/>
                <w:szCs w:val="22"/>
                <w:lang w:eastAsia="en-US"/>
              </w:rPr>
              <w:t>6</w:t>
            </w:r>
            <w:r w:rsidRPr="00A243A1">
              <w:rPr>
                <w:sz w:val="22"/>
                <w:szCs w:val="22"/>
                <w:lang w:val="en-US" w:eastAsia="en-US"/>
              </w:rPr>
              <w:t>T</w:t>
            </w:r>
            <w:r w:rsidRPr="00A243A1">
              <w:rPr>
                <w:sz w:val="22"/>
                <w:szCs w:val="22"/>
                <w:lang w:eastAsia="en-US"/>
              </w:rPr>
              <w:t>-</w:t>
            </w:r>
            <w:r w:rsidRPr="00A243A1">
              <w:rPr>
                <w:sz w:val="22"/>
                <w:szCs w:val="22"/>
                <w:lang w:val="en-US" w:eastAsia="en-US"/>
              </w:rPr>
              <w:t>W</w:t>
            </w:r>
            <w:r w:rsidRPr="00A243A1">
              <w:rPr>
                <w:sz w:val="22"/>
                <w:szCs w:val="22"/>
                <w:lang w:eastAsia="en-US"/>
              </w:rPr>
              <w:t xml:space="preserve"> - 2 шт., Экран </w:t>
            </w:r>
            <w:r w:rsidRPr="00A243A1">
              <w:rPr>
                <w:sz w:val="22"/>
                <w:szCs w:val="22"/>
                <w:lang w:val="en-US" w:eastAsia="en-US"/>
              </w:rPr>
              <w:t>Compact</w:t>
            </w:r>
            <w:r w:rsidRPr="00A243A1">
              <w:rPr>
                <w:sz w:val="22"/>
                <w:szCs w:val="22"/>
                <w:lang w:eastAsia="en-US"/>
              </w:rPr>
              <w:t xml:space="preserve"> </w:t>
            </w:r>
            <w:r w:rsidRPr="00A243A1">
              <w:rPr>
                <w:sz w:val="22"/>
                <w:szCs w:val="22"/>
                <w:lang w:val="en-US" w:eastAsia="en-US"/>
              </w:rPr>
              <w:t>Electrol</w:t>
            </w:r>
            <w:r w:rsidRPr="00A243A1">
              <w:rPr>
                <w:sz w:val="22"/>
                <w:szCs w:val="22"/>
                <w:lang w:eastAsia="en-US"/>
              </w:rPr>
              <w:t xml:space="preserve"> : размер экрана 153</w:t>
            </w:r>
            <w:r w:rsidRPr="00A243A1">
              <w:rPr>
                <w:sz w:val="22"/>
                <w:szCs w:val="22"/>
                <w:lang w:val="en-US" w:eastAsia="en-US"/>
              </w:rPr>
              <w:t>x</w:t>
            </w:r>
            <w:r w:rsidRPr="00A243A1">
              <w:rPr>
                <w:sz w:val="22"/>
                <w:szCs w:val="22"/>
                <w:lang w:eastAsia="en-US"/>
              </w:rPr>
              <w:t xml:space="preserve">200 </w:t>
            </w:r>
            <w:r w:rsidRPr="00A243A1">
              <w:rPr>
                <w:sz w:val="22"/>
                <w:szCs w:val="22"/>
                <w:lang w:val="en-US" w:eastAsia="en-US"/>
              </w:rPr>
              <w:t>c</w:t>
            </w:r>
            <w:r w:rsidRPr="00A243A1">
              <w:rPr>
                <w:sz w:val="22"/>
                <w:szCs w:val="22"/>
                <w:lang w:eastAsia="en-US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8FDC" w14:textId="77777777" w:rsidR="00A243A1" w:rsidRPr="00A243A1" w:rsidRDefault="00A243A1" w:rsidP="00A243A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A243A1"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 w:rsidRPr="00A243A1"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453C48D8" w14:textId="34C35632" w:rsidR="00A243A1" w:rsidRDefault="00A243A1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 xml:space="preserve">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43A1" w14:paraId="4147FEDD" w14:textId="77777777" w:rsidTr="00A243A1">
        <w:tc>
          <w:tcPr>
            <w:tcW w:w="562" w:type="dxa"/>
          </w:tcPr>
          <w:p w14:paraId="71F4CB64" w14:textId="77777777" w:rsidR="00A243A1" w:rsidRPr="00897FD6" w:rsidRDefault="00A243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2BAAE5" w14:textId="77777777" w:rsidR="00A243A1" w:rsidRDefault="00A243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43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43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43A1" w14:paraId="5A1C9382" w14:textId="77777777" w:rsidTr="00801458">
        <w:tc>
          <w:tcPr>
            <w:tcW w:w="2336" w:type="dxa"/>
          </w:tcPr>
          <w:p w14:paraId="4C518DAB" w14:textId="77777777" w:rsidR="005D65A5" w:rsidRPr="00A243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43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43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43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43A1" w14:paraId="07658034" w14:textId="77777777" w:rsidTr="00801458">
        <w:tc>
          <w:tcPr>
            <w:tcW w:w="2336" w:type="dxa"/>
          </w:tcPr>
          <w:p w14:paraId="1553D698" w14:textId="78F29BFB" w:rsidR="005D65A5" w:rsidRPr="00A243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A243A1" w14:paraId="180B8C65" w14:textId="77777777" w:rsidTr="00801458">
        <w:tc>
          <w:tcPr>
            <w:tcW w:w="2336" w:type="dxa"/>
          </w:tcPr>
          <w:p w14:paraId="01B42207" w14:textId="77777777" w:rsidR="005D65A5" w:rsidRPr="00A243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8A07BC" w14:textId="77777777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57A30C" w14:textId="77777777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16D58E" w14:textId="77777777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243A1" w14:paraId="04056259" w14:textId="77777777" w:rsidTr="00801458">
        <w:tc>
          <w:tcPr>
            <w:tcW w:w="2336" w:type="dxa"/>
          </w:tcPr>
          <w:p w14:paraId="0E15B013" w14:textId="77777777" w:rsidR="005D65A5" w:rsidRPr="00A243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1070E9" w14:textId="77777777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C89AB3" w14:textId="77777777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E388D7" w14:textId="77777777" w:rsidR="005D65A5" w:rsidRPr="00A243A1" w:rsidRDefault="007478E0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2093EC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43A1" w14:paraId="7887DB1D" w14:textId="77777777" w:rsidTr="00A243A1">
        <w:tc>
          <w:tcPr>
            <w:tcW w:w="562" w:type="dxa"/>
          </w:tcPr>
          <w:p w14:paraId="56AD5335" w14:textId="77777777" w:rsidR="00A243A1" w:rsidRDefault="00A243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5DEE32" w14:textId="77777777" w:rsidR="00A243A1" w:rsidRDefault="00A243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43A1" w14:paraId="0267C479" w14:textId="77777777" w:rsidTr="00801458">
        <w:tc>
          <w:tcPr>
            <w:tcW w:w="2500" w:type="pct"/>
          </w:tcPr>
          <w:p w14:paraId="37F699C9" w14:textId="77777777" w:rsidR="00B8237E" w:rsidRPr="00A243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43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43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43A1" w14:paraId="3F240151" w14:textId="77777777" w:rsidTr="00801458">
        <w:tc>
          <w:tcPr>
            <w:tcW w:w="2500" w:type="pct"/>
          </w:tcPr>
          <w:p w14:paraId="61E91592" w14:textId="61A0874C" w:rsidR="00B8237E" w:rsidRPr="00A243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243A1" w:rsidRDefault="005C548A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243A1" w14:paraId="7D1CFD74" w14:textId="77777777" w:rsidTr="00801458">
        <w:tc>
          <w:tcPr>
            <w:tcW w:w="2500" w:type="pct"/>
          </w:tcPr>
          <w:p w14:paraId="5D9A9352" w14:textId="77777777" w:rsidR="00B8237E" w:rsidRPr="00A243A1" w:rsidRDefault="00B8237E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12AA53" w14:textId="77777777" w:rsidR="00B8237E" w:rsidRPr="00A243A1" w:rsidRDefault="005C548A" w:rsidP="00801458">
            <w:pPr>
              <w:rPr>
                <w:rFonts w:ascii="Times New Roman" w:hAnsi="Times New Roman" w:cs="Times New Roman"/>
              </w:rPr>
            </w:pPr>
            <w:r w:rsidRPr="00A243A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</w:t>
      </w:r>
      <w:r w:rsidRPr="00142518">
        <w:rPr>
          <w:rFonts w:ascii="Times New Roman" w:hAnsi="Times New Roman"/>
          <w:sz w:val="28"/>
          <w:szCs w:val="28"/>
        </w:rPr>
        <w:lastRenderedPageBreak/>
        <w:t>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24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E3BFF" w14:textId="77777777" w:rsidR="001F2926" w:rsidRDefault="001F2926" w:rsidP="00315CA6">
      <w:pPr>
        <w:spacing w:after="0" w:line="240" w:lineRule="auto"/>
      </w:pPr>
      <w:r>
        <w:separator/>
      </w:r>
    </w:p>
  </w:endnote>
  <w:endnote w:type="continuationSeparator" w:id="0">
    <w:p w14:paraId="053CFCBD" w14:textId="77777777" w:rsidR="001F2926" w:rsidRDefault="001F29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89664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9AD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2B084" w14:textId="77777777" w:rsidR="001F2926" w:rsidRDefault="001F2926" w:rsidP="00315CA6">
      <w:pPr>
        <w:spacing w:after="0" w:line="240" w:lineRule="auto"/>
      </w:pPr>
      <w:r>
        <w:separator/>
      </w:r>
    </w:p>
  </w:footnote>
  <w:footnote w:type="continuationSeparator" w:id="0">
    <w:p w14:paraId="01F57660" w14:textId="77777777" w:rsidR="001F2926" w:rsidRDefault="001F29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292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79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9F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7FD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19AD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3A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C0070B3-1DCC-4A37-9071-9A8A54CB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0277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6619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1C5A4-D7D5-484B-90BA-F0FCBB53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4744</Words>
  <Characters>27045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